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3C3835" w:rsidRDefault="002245DF" w:rsidP="0052228C">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3C3835">
        <w:rPr>
          <w:rFonts w:ascii="楷体_GB2312" w:eastAsia="楷体_GB2312" w:hAnsi="楷体" w:hint="eastAsia"/>
          <w:b/>
          <w:color w:val="984806" w:themeColor="accent6" w:themeShade="80"/>
          <w:w w:val="90"/>
          <w:kern w:val="0"/>
          <w:sz w:val="110"/>
          <w:szCs w:val="110"/>
        </w:rPr>
        <w:t>林业经济技术信息</w:t>
      </w:r>
    </w:p>
    <w:p w:rsidR="009928CB" w:rsidRPr="00AE1091" w:rsidRDefault="00CB4D1C" w:rsidP="0052228C">
      <w:pPr>
        <w:spacing w:beforeLines="50" w:afterLines="50" w:line="560" w:lineRule="exact"/>
        <w:jc w:val="center"/>
        <w:rPr>
          <w:rFonts w:asciiTheme="minorEastAsia" w:hAnsiTheme="minorEastAsia"/>
          <w:b/>
          <w:sz w:val="28"/>
          <w:szCs w:val="28"/>
        </w:rPr>
      </w:pPr>
      <w:r w:rsidRPr="00AE1091">
        <w:rPr>
          <w:rFonts w:asciiTheme="minorEastAsia" w:hAnsiTheme="minorEastAsia" w:cs="Times New Roman" w:hint="eastAsia"/>
          <w:b/>
          <w:sz w:val="28"/>
          <w:szCs w:val="28"/>
        </w:rPr>
        <w:t>第</w:t>
      </w:r>
      <w:r w:rsidR="0047131C">
        <w:rPr>
          <w:rFonts w:asciiTheme="minorEastAsia" w:hAnsiTheme="minorEastAsia" w:cs="Times New Roman" w:hint="eastAsia"/>
          <w:b/>
          <w:sz w:val="28"/>
          <w:szCs w:val="28"/>
        </w:rPr>
        <w:t>5</w:t>
      </w:r>
      <w:r w:rsidR="00654EE3">
        <w:rPr>
          <w:rFonts w:asciiTheme="minorEastAsia" w:hAnsiTheme="minorEastAsia" w:cs="Times New Roman" w:hint="eastAsia"/>
          <w:b/>
          <w:sz w:val="28"/>
          <w:szCs w:val="28"/>
        </w:rPr>
        <w:t>、</w:t>
      </w:r>
      <w:r w:rsidR="0047131C">
        <w:rPr>
          <w:rFonts w:asciiTheme="minorEastAsia" w:hAnsiTheme="minorEastAsia" w:cs="Times New Roman" w:hint="eastAsia"/>
          <w:b/>
          <w:sz w:val="28"/>
          <w:szCs w:val="28"/>
        </w:rPr>
        <w:t>6</w:t>
      </w:r>
      <w:r w:rsidRPr="00AE1091">
        <w:rPr>
          <w:rFonts w:asciiTheme="minorEastAsia" w:hAnsiTheme="minorEastAsia" w:cs="Times New Roman" w:hint="eastAsia"/>
          <w:b/>
          <w:sz w:val="28"/>
          <w:szCs w:val="28"/>
        </w:rPr>
        <w:t>期</w:t>
      </w:r>
      <w:r w:rsidR="009928CB" w:rsidRPr="00AE1091">
        <w:rPr>
          <w:rFonts w:asciiTheme="minorEastAsia" w:hAnsiTheme="minorEastAsia" w:hint="eastAsia"/>
          <w:b/>
          <w:sz w:val="28"/>
          <w:szCs w:val="28"/>
        </w:rPr>
        <w:t>（总第</w:t>
      </w:r>
      <w:r w:rsidR="00B72FA8" w:rsidRPr="00AE1091">
        <w:rPr>
          <w:rFonts w:asciiTheme="minorEastAsia" w:hAnsiTheme="minorEastAsia" w:hint="eastAsia"/>
          <w:b/>
          <w:sz w:val="28"/>
          <w:szCs w:val="28"/>
        </w:rPr>
        <w:t>1</w:t>
      </w:r>
      <w:r w:rsidR="00275E6F">
        <w:rPr>
          <w:rFonts w:asciiTheme="minorEastAsia" w:hAnsiTheme="minorEastAsia" w:hint="eastAsia"/>
          <w:b/>
          <w:sz w:val="28"/>
          <w:szCs w:val="28"/>
        </w:rPr>
        <w:t>5</w:t>
      </w:r>
      <w:r w:rsidR="0047131C">
        <w:rPr>
          <w:rFonts w:asciiTheme="minorEastAsia" w:hAnsiTheme="minorEastAsia" w:hint="eastAsia"/>
          <w:b/>
          <w:sz w:val="28"/>
          <w:szCs w:val="28"/>
        </w:rPr>
        <w:t>5</w:t>
      </w:r>
      <w:r w:rsidR="00B67BE6" w:rsidRPr="00AE1091">
        <w:rPr>
          <w:rFonts w:asciiTheme="minorEastAsia" w:hAnsiTheme="minorEastAsia" w:hint="eastAsia"/>
          <w:b/>
          <w:sz w:val="28"/>
          <w:szCs w:val="28"/>
        </w:rPr>
        <w:t>、1</w:t>
      </w:r>
      <w:r w:rsidR="00C03ACD">
        <w:rPr>
          <w:rFonts w:asciiTheme="minorEastAsia" w:hAnsiTheme="minorEastAsia" w:hint="eastAsia"/>
          <w:b/>
          <w:sz w:val="28"/>
          <w:szCs w:val="28"/>
        </w:rPr>
        <w:t>5</w:t>
      </w:r>
      <w:r w:rsidR="0047131C">
        <w:rPr>
          <w:rFonts w:asciiTheme="minorEastAsia" w:hAnsiTheme="minorEastAsia" w:hint="eastAsia"/>
          <w:b/>
          <w:sz w:val="28"/>
          <w:szCs w:val="28"/>
        </w:rPr>
        <w:t>6</w:t>
      </w:r>
      <w:r w:rsidR="009928CB" w:rsidRPr="00AE1091">
        <w:rPr>
          <w:rFonts w:asciiTheme="minorEastAsia" w:hAnsiTheme="minorEastAsia" w:hint="eastAsia"/>
          <w:b/>
          <w:sz w:val="28"/>
          <w:szCs w:val="28"/>
        </w:rPr>
        <w:t>期）</w:t>
      </w:r>
    </w:p>
    <w:p w:rsidR="002245DF" w:rsidRPr="009471ED" w:rsidRDefault="00B5330A" w:rsidP="009F57C3">
      <w:pPr>
        <w:spacing w:line="600" w:lineRule="exact"/>
        <w:jc w:val="center"/>
        <w:rPr>
          <w:rFonts w:asciiTheme="minorEastAsia" w:hAnsiTheme="minorEastAsia"/>
          <w:sz w:val="30"/>
          <w:szCs w:val="30"/>
        </w:rPr>
      </w:pPr>
      <w:r w:rsidRPr="00B5330A">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28.15pt;width:436.8pt;height:0;z-index:251658240" o:connectortype="straight" strokeweight="1.25pt"/>
        </w:pict>
      </w:r>
      <w:r w:rsidR="00B27799" w:rsidRPr="009471ED">
        <w:rPr>
          <w:rFonts w:asciiTheme="minorEastAsia" w:hAnsiTheme="minorEastAsia" w:hint="eastAsia"/>
          <w:b/>
          <w:sz w:val="30"/>
          <w:szCs w:val="30"/>
        </w:rPr>
        <w:t>吉林</w:t>
      </w:r>
      <w:r w:rsidR="000D6656" w:rsidRPr="009471ED">
        <w:rPr>
          <w:rFonts w:asciiTheme="minorEastAsia" w:hAnsiTheme="minorEastAsia" w:hint="eastAsia"/>
          <w:b/>
          <w:sz w:val="30"/>
          <w:szCs w:val="30"/>
        </w:rPr>
        <w:t>林业科技</w:t>
      </w:r>
      <w:r w:rsidR="00B27799" w:rsidRPr="009471ED">
        <w:rPr>
          <w:rFonts w:asciiTheme="minorEastAsia" w:hAnsiTheme="minorEastAsia" w:hint="eastAsia"/>
          <w:b/>
          <w:sz w:val="30"/>
          <w:szCs w:val="30"/>
        </w:rPr>
        <w:t>信息中心</w:t>
      </w:r>
      <w:r w:rsidR="000D6656" w:rsidRPr="009471ED">
        <w:rPr>
          <w:rFonts w:asciiTheme="minorEastAsia" w:hAnsiTheme="minorEastAsia" w:hint="eastAsia"/>
          <w:b/>
          <w:sz w:val="30"/>
          <w:szCs w:val="30"/>
        </w:rPr>
        <w:t xml:space="preserve">  </w:t>
      </w:r>
      <w:r w:rsidR="000D6656" w:rsidRPr="009471ED">
        <w:rPr>
          <w:rFonts w:ascii="楷体_GB2312" w:eastAsia="楷体_GB2312" w:hAnsiTheme="minorEastAsia" w:hint="eastAsia"/>
          <w:b/>
          <w:sz w:val="30"/>
          <w:szCs w:val="30"/>
        </w:rPr>
        <w:t>主办</w:t>
      </w:r>
      <w:r w:rsidR="00B27799" w:rsidRPr="009471ED">
        <w:rPr>
          <w:rFonts w:ascii="楷体_GB2312" w:eastAsia="楷体_GB2312" w:hAnsiTheme="minorEastAsia" w:hint="eastAsia"/>
          <w:b/>
          <w:sz w:val="30"/>
          <w:szCs w:val="30"/>
        </w:rPr>
        <w:t xml:space="preserve">  </w:t>
      </w:r>
      <w:r w:rsidR="00B27799" w:rsidRPr="009471ED">
        <w:rPr>
          <w:rFonts w:asciiTheme="minorEastAsia" w:hAnsiTheme="minorEastAsia" w:hint="eastAsia"/>
          <w:sz w:val="30"/>
          <w:szCs w:val="30"/>
        </w:rPr>
        <w:t xml:space="preserve">         </w:t>
      </w:r>
      <w:r w:rsidR="000D6656" w:rsidRPr="009471ED">
        <w:rPr>
          <w:rFonts w:asciiTheme="minorEastAsia" w:hAnsiTheme="minorEastAsia" w:hint="eastAsia"/>
          <w:sz w:val="30"/>
          <w:szCs w:val="30"/>
        </w:rPr>
        <w:t xml:space="preserve">       </w:t>
      </w:r>
      <w:r w:rsidR="009928CB" w:rsidRPr="00AE1091">
        <w:rPr>
          <w:rFonts w:asciiTheme="minorEastAsia" w:hAnsiTheme="minorEastAsia" w:hint="eastAsia"/>
          <w:b/>
          <w:sz w:val="30"/>
          <w:szCs w:val="30"/>
        </w:rPr>
        <w:t>201</w:t>
      </w:r>
      <w:r w:rsidR="00275E6F">
        <w:rPr>
          <w:rFonts w:asciiTheme="minorEastAsia" w:hAnsiTheme="minorEastAsia" w:hint="eastAsia"/>
          <w:b/>
          <w:sz w:val="30"/>
          <w:szCs w:val="30"/>
        </w:rPr>
        <w:t>9</w:t>
      </w:r>
      <w:r w:rsidR="009928CB" w:rsidRPr="00AE1091">
        <w:rPr>
          <w:rFonts w:asciiTheme="minorEastAsia" w:hAnsiTheme="minorEastAsia" w:hint="eastAsia"/>
          <w:b/>
          <w:sz w:val="30"/>
          <w:szCs w:val="30"/>
        </w:rPr>
        <w:t>-</w:t>
      </w:r>
      <w:r w:rsidR="0047131C">
        <w:rPr>
          <w:rFonts w:asciiTheme="minorEastAsia" w:hAnsiTheme="minorEastAsia" w:hint="eastAsia"/>
          <w:b/>
          <w:sz w:val="30"/>
          <w:szCs w:val="30"/>
        </w:rPr>
        <w:t>4</w:t>
      </w:r>
      <w:r w:rsidR="00A7128D" w:rsidRPr="00AE1091">
        <w:rPr>
          <w:rFonts w:asciiTheme="minorEastAsia" w:hAnsiTheme="minorEastAsia" w:hint="eastAsia"/>
          <w:b/>
          <w:sz w:val="30"/>
          <w:szCs w:val="30"/>
        </w:rPr>
        <w:t>-</w:t>
      </w:r>
      <w:r w:rsidR="004076DF">
        <w:rPr>
          <w:rFonts w:asciiTheme="minorEastAsia" w:hAnsiTheme="minorEastAsia" w:hint="eastAsia"/>
          <w:b/>
          <w:sz w:val="30"/>
          <w:szCs w:val="30"/>
        </w:rPr>
        <w:t>3</w:t>
      </w:r>
      <w:r w:rsidR="0047131C">
        <w:rPr>
          <w:rFonts w:asciiTheme="minorEastAsia" w:hAnsiTheme="minorEastAsia" w:hint="eastAsia"/>
          <w:b/>
          <w:sz w:val="30"/>
          <w:szCs w:val="30"/>
        </w:rPr>
        <w:t>0</w:t>
      </w:r>
    </w:p>
    <w:p w:rsidR="00522A32" w:rsidRDefault="00522A32" w:rsidP="008552E5">
      <w:pPr>
        <w:spacing w:line="320" w:lineRule="exact"/>
        <w:jc w:val="center"/>
        <w:rPr>
          <w:rFonts w:ascii="黑体" w:eastAsia="黑体"/>
          <w:b/>
          <w:sz w:val="30"/>
          <w:szCs w:val="30"/>
        </w:rPr>
      </w:pPr>
    </w:p>
    <w:p w:rsidR="002245DF" w:rsidRPr="00C377C7" w:rsidRDefault="002245DF" w:rsidP="0052228C">
      <w:pPr>
        <w:spacing w:beforeLines="50" w:line="400" w:lineRule="exact"/>
        <w:jc w:val="center"/>
        <w:rPr>
          <w:rFonts w:ascii="黑体" w:eastAsia="黑体"/>
          <w:b/>
          <w:sz w:val="44"/>
          <w:szCs w:val="44"/>
        </w:rPr>
      </w:pPr>
      <w:r w:rsidRPr="00C377C7">
        <w:rPr>
          <w:rFonts w:ascii="黑体" w:eastAsia="黑体" w:hint="eastAsia"/>
          <w:b/>
          <w:sz w:val="44"/>
          <w:szCs w:val="44"/>
        </w:rPr>
        <w:t xml:space="preserve">目  </w:t>
      </w:r>
      <w:r w:rsidR="00D436AD" w:rsidRPr="00C377C7">
        <w:rPr>
          <w:rFonts w:ascii="黑体" w:eastAsia="黑体" w:hint="eastAsia"/>
          <w:b/>
          <w:sz w:val="44"/>
          <w:szCs w:val="44"/>
        </w:rPr>
        <w:t xml:space="preserve">  </w:t>
      </w:r>
      <w:r w:rsidRPr="00C377C7">
        <w:rPr>
          <w:rFonts w:ascii="黑体" w:eastAsia="黑体" w:hint="eastAsia"/>
          <w:b/>
          <w:sz w:val="44"/>
          <w:szCs w:val="44"/>
        </w:rPr>
        <w:t>录</w:t>
      </w:r>
    </w:p>
    <w:p w:rsidR="00575559" w:rsidRPr="003D66E7" w:rsidRDefault="0067374C" w:rsidP="0052228C">
      <w:pPr>
        <w:spacing w:beforeLines="100" w:afterLines="50" w:line="280" w:lineRule="exact"/>
        <w:jc w:val="left"/>
        <w:rPr>
          <w:rFonts w:ascii="黑体" w:eastAsia="黑体" w:hAnsiTheme="minorEastAsia" w:cs="宋体"/>
          <w:b/>
          <w:color w:val="4F6228" w:themeColor="accent3" w:themeShade="80"/>
          <w:kern w:val="0"/>
          <w:sz w:val="30"/>
          <w:szCs w:val="30"/>
        </w:rPr>
      </w:pPr>
      <w:r w:rsidRPr="003D66E7">
        <w:rPr>
          <w:rFonts w:ascii="黑体" w:eastAsia="黑体" w:hAnsiTheme="minorEastAsia" w:cs="宋体" w:hint="eastAsia"/>
          <w:b/>
          <w:color w:val="4F6228" w:themeColor="accent3" w:themeShade="80"/>
          <w:kern w:val="0"/>
          <w:sz w:val="30"/>
          <w:szCs w:val="30"/>
        </w:rPr>
        <w:t>行业动态</w:t>
      </w:r>
    </w:p>
    <w:p w:rsidR="003C3835" w:rsidRPr="003D66E7" w:rsidRDefault="00B30F22" w:rsidP="0052228C">
      <w:pPr>
        <w:pStyle w:val="a7"/>
        <w:widowControl/>
        <w:numPr>
          <w:ilvl w:val="0"/>
          <w:numId w:val="36"/>
        </w:numPr>
        <w:spacing w:beforeLines="50" w:afterLines="50" w:line="390" w:lineRule="exact"/>
        <w:ind w:rightChars="310" w:right="651" w:firstLineChars="0" w:firstLine="6"/>
        <w:jc w:val="left"/>
        <w:outlineLvl w:val="1"/>
        <w:rPr>
          <w:rFonts w:asciiTheme="minorEastAsia" w:hAnsiTheme="minorEastAsia" w:cs="宋体"/>
          <w:b/>
          <w:bCs/>
          <w:kern w:val="0"/>
          <w:sz w:val="28"/>
          <w:szCs w:val="28"/>
        </w:rPr>
      </w:pPr>
      <w:r w:rsidRPr="003D66E7">
        <w:rPr>
          <w:rFonts w:asciiTheme="minorEastAsia" w:hAnsiTheme="minorEastAsia" w:cs="宋体" w:hint="eastAsia"/>
          <w:b/>
          <w:bCs/>
          <w:kern w:val="0"/>
          <w:sz w:val="28"/>
          <w:szCs w:val="28"/>
        </w:rPr>
        <w:t>2019年全球生态保护8个新问题</w:t>
      </w:r>
    </w:p>
    <w:p w:rsidR="0014122D" w:rsidRPr="003D66E7" w:rsidRDefault="0014122D" w:rsidP="0052228C">
      <w:pPr>
        <w:pStyle w:val="a7"/>
        <w:widowControl/>
        <w:numPr>
          <w:ilvl w:val="0"/>
          <w:numId w:val="36"/>
        </w:numPr>
        <w:spacing w:beforeLines="50" w:afterLines="50" w:line="390" w:lineRule="exact"/>
        <w:ind w:left="426" w:rightChars="310" w:right="651" w:firstLineChars="0" w:firstLine="0"/>
        <w:jc w:val="left"/>
        <w:outlineLvl w:val="1"/>
        <w:rPr>
          <w:rFonts w:asciiTheme="minorEastAsia" w:hAnsiTheme="minorEastAsia" w:cs="宋体"/>
          <w:b/>
          <w:bCs/>
          <w:kern w:val="0"/>
          <w:sz w:val="28"/>
          <w:szCs w:val="28"/>
        </w:rPr>
      </w:pPr>
      <w:r w:rsidRPr="003D66E7">
        <w:rPr>
          <w:rFonts w:asciiTheme="minorEastAsia" w:hAnsiTheme="minorEastAsia" w:cs="宋体"/>
          <w:b/>
          <w:bCs/>
          <w:kern w:val="0"/>
          <w:sz w:val="28"/>
          <w:szCs w:val="28"/>
        </w:rPr>
        <w:t>美德林业标准的体系与政策</w:t>
      </w:r>
    </w:p>
    <w:p w:rsidR="00D63275" w:rsidRPr="003D66E7" w:rsidRDefault="00565515" w:rsidP="0052228C">
      <w:pPr>
        <w:pStyle w:val="a7"/>
        <w:numPr>
          <w:ilvl w:val="1"/>
          <w:numId w:val="36"/>
        </w:numPr>
        <w:spacing w:beforeLines="50" w:afterLines="50" w:line="360" w:lineRule="exact"/>
        <w:ind w:rightChars="310" w:right="651" w:firstLineChars="0"/>
        <w:rPr>
          <w:rFonts w:asciiTheme="minorEastAsia" w:hAnsiTheme="minorEastAsia" w:cs="宋体"/>
          <w:b/>
          <w:bCs/>
          <w:kern w:val="0"/>
          <w:sz w:val="28"/>
          <w:szCs w:val="28"/>
        </w:rPr>
      </w:pPr>
      <w:r w:rsidRPr="003D66E7">
        <w:rPr>
          <w:rFonts w:asciiTheme="minorEastAsia" w:hAnsiTheme="minorEastAsia" w:cs="宋体" w:hint="eastAsia"/>
          <w:b/>
          <w:bCs/>
          <w:kern w:val="0"/>
          <w:sz w:val="28"/>
          <w:szCs w:val="28"/>
        </w:rPr>
        <w:t>我</w:t>
      </w:r>
      <w:r w:rsidR="00D63275" w:rsidRPr="003D66E7">
        <w:rPr>
          <w:rFonts w:asciiTheme="minorEastAsia" w:hAnsiTheme="minorEastAsia" w:cs="宋体"/>
          <w:b/>
          <w:bCs/>
          <w:kern w:val="0"/>
          <w:sz w:val="28"/>
          <w:szCs w:val="28"/>
        </w:rPr>
        <w:t>国天然林进入全面保护新阶段</w:t>
      </w:r>
    </w:p>
    <w:p w:rsidR="00C50235" w:rsidRPr="003D66E7" w:rsidRDefault="00C50235" w:rsidP="0052228C">
      <w:pPr>
        <w:spacing w:beforeLines="50" w:afterLines="50" w:line="280" w:lineRule="exact"/>
        <w:jc w:val="left"/>
        <w:rPr>
          <w:rFonts w:ascii="黑体" w:eastAsia="黑体" w:hAnsiTheme="minorEastAsia" w:cs="宋体"/>
          <w:b/>
          <w:color w:val="4F6228" w:themeColor="accent3" w:themeShade="80"/>
          <w:kern w:val="0"/>
          <w:sz w:val="30"/>
          <w:szCs w:val="30"/>
        </w:rPr>
      </w:pPr>
      <w:r w:rsidRPr="003D66E7">
        <w:rPr>
          <w:rFonts w:ascii="黑体" w:eastAsia="黑体" w:hAnsiTheme="minorEastAsia" w:cs="宋体" w:hint="eastAsia"/>
          <w:b/>
          <w:color w:val="4F6228" w:themeColor="accent3" w:themeShade="80"/>
          <w:kern w:val="0"/>
          <w:sz w:val="30"/>
          <w:szCs w:val="30"/>
        </w:rPr>
        <w:t>科技资讯</w:t>
      </w:r>
    </w:p>
    <w:p w:rsidR="00B30F22" w:rsidRPr="003D66E7" w:rsidRDefault="00565515" w:rsidP="0052228C">
      <w:pPr>
        <w:pStyle w:val="a7"/>
        <w:widowControl/>
        <w:numPr>
          <w:ilvl w:val="1"/>
          <w:numId w:val="36"/>
        </w:numPr>
        <w:spacing w:beforeLines="50"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hint="eastAsia"/>
          <w:b/>
          <w:bCs/>
          <w:kern w:val="0"/>
          <w:sz w:val="28"/>
          <w:szCs w:val="28"/>
        </w:rPr>
        <w:t>世界</w:t>
      </w:r>
      <w:r w:rsidRPr="003D66E7">
        <w:rPr>
          <w:rFonts w:asciiTheme="minorEastAsia" w:hAnsiTheme="minorEastAsia" w:cs="宋体"/>
          <w:b/>
          <w:bCs/>
          <w:kern w:val="0"/>
          <w:sz w:val="28"/>
          <w:szCs w:val="28"/>
        </w:rPr>
        <w:t>林业科</w:t>
      </w:r>
      <w:r w:rsidRPr="003D66E7">
        <w:rPr>
          <w:rFonts w:asciiTheme="minorEastAsia" w:hAnsiTheme="minorEastAsia" w:cs="宋体" w:hint="eastAsia"/>
          <w:b/>
          <w:bCs/>
          <w:kern w:val="0"/>
          <w:sz w:val="28"/>
          <w:szCs w:val="28"/>
        </w:rPr>
        <w:t>学</w:t>
      </w:r>
      <w:r w:rsidRPr="003D66E7">
        <w:rPr>
          <w:rFonts w:asciiTheme="minorEastAsia" w:hAnsiTheme="minorEastAsia" w:cs="宋体"/>
          <w:b/>
          <w:bCs/>
          <w:kern w:val="0"/>
          <w:sz w:val="28"/>
          <w:szCs w:val="28"/>
        </w:rPr>
        <w:t>技</w:t>
      </w:r>
      <w:r w:rsidRPr="003D66E7">
        <w:rPr>
          <w:rFonts w:asciiTheme="minorEastAsia" w:hAnsiTheme="minorEastAsia" w:cs="宋体" w:hint="eastAsia"/>
          <w:b/>
          <w:bCs/>
          <w:kern w:val="0"/>
          <w:sz w:val="28"/>
          <w:szCs w:val="28"/>
        </w:rPr>
        <w:t>术发展现状及</w:t>
      </w:r>
      <w:r w:rsidR="00B30F22" w:rsidRPr="003D66E7">
        <w:rPr>
          <w:rFonts w:asciiTheme="minorEastAsia" w:hAnsiTheme="minorEastAsia" w:cs="宋体"/>
          <w:b/>
          <w:bCs/>
          <w:kern w:val="0"/>
          <w:sz w:val="28"/>
          <w:szCs w:val="28"/>
        </w:rPr>
        <w:t>趋势</w:t>
      </w:r>
    </w:p>
    <w:p w:rsidR="00B30F22" w:rsidRPr="003D66E7" w:rsidRDefault="00B30F22" w:rsidP="0052228C">
      <w:pPr>
        <w:pStyle w:val="a7"/>
        <w:numPr>
          <w:ilvl w:val="1"/>
          <w:numId w:val="36"/>
        </w:numPr>
        <w:spacing w:beforeLines="50"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b/>
          <w:bCs/>
          <w:kern w:val="0"/>
          <w:sz w:val="28"/>
          <w:szCs w:val="28"/>
        </w:rPr>
        <w:t>国家林草局六项措施激励科创人才</w:t>
      </w:r>
    </w:p>
    <w:p w:rsidR="00D63275" w:rsidRPr="003D66E7" w:rsidRDefault="00D63275" w:rsidP="0052228C">
      <w:pPr>
        <w:pStyle w:val="a7"/>
        <w:numPr>
          <w:ilvl w:val="1"/>
          <w:numId w:val="36"/>
        </w:numPr>
        <w:spacing w:beforeLines="50"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b/>
          <w:bCs/>
          <w:kern w:val="0"/>
          <w:sz w:val="28"/>
          <w:szCs w:val="28"/>
        </w:rPr>
        <w:t>中国林科院赋予科研人员更大自主权</w:t>
      </w:r>
    </w:p>
    <w:p w:rsidR="00D63275" w:rsidRPr="003D66E7" w:rsidRDefault="003D66E7" w:rsidP="0052228C">
      <w:pPr>
        <w:pStyle w:val="a7"/>
        <w:numPr>
          <w:ilvl w:val="1"/>
          <w:numId w:val="36"/>
        </w:numPr>
        <w:spacing w:beforeLines="50"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hint="eastAsia"/>
          <w:b/>
          <w:bCs/>
          <w:kern w:val="0"/>
          <w:sz w:val="28"/>
          <w:szCs w:val="28"/>
        </w:rPr>
        <w:t>北林大</w:t>
      </w:r>
      <w:r w:rsidR="00D63275" w:rsidRPr="003D66E7">
        <w:rPr>
          <w:rFonts w:asciiTheme="minorEastAsia" w:hAnsiTheme="minorEastAsia" w:cs="宋体"/>
          <w:b/>
          <w:bCs/>
          <w:kern w:val="0"/>
          <w:sz w:val="28"/>
          <w:szCs w:val="28"/>
        </w:rPr>
        <w:t>林木良种育苗技术实验实现虚拟仿真</w:t>
      </w:r>
    </w:p>
    <w:p w:rsidR="009D2C05" w:rsidRPr="003D66E7" w:rsidRDefault="009D2C05" w:rsidP="0052228C">
      <w:pPr>
        <w:spacing w:beforeLines="50" w:afterLines="50" w:line="280" w:lineRule="exact"/>
        <w:jc w:val="left"/>
        <w:rPr>
          <w:rFonts w:ascii="黑体" w:eastAsia="黑体" w:hAnsiTheme="minorEastAsia" w:cs="宋体"/>
          <w:b/>
          <w:color w:val="4F6228" w:themeColor="accent3" w:themeShade="80"/>
          <w:kern w:val="0"/>
          <w:sz w:val="30"/>
          <w:szCs w:val="30"/>
        </w:rPr>
      </w:pPr>
      <w:r w:rsidRPr="003D66E7">
        <w:rPr>
          <w:rFonts w:ascii="黑体" w:eastAsia="黑体" w:hAnsiTheme="minorEastAsia" w:cs="宋体" w:hint="eastAsia"/>
          <w:b/>
          <w:color w:val="4F6228" w:themeColor="accent3" w:themeShade="80"/>
          <w:kern w:val="0"/>
          <w:sz w:val="30"/>
          <w:szCs w:val="30"/>
        </w:rPr>
        <w:t>智慧林业</w:t>
      </w:r>
    </w:p>
    <w:p w:rsidR="00E655BE" w:rsidRPr="003D66E7" w:rsidRDefault="00E655BE" w:rsidP="0052228C">
      <w:pPr>
        <w:pStyle w:val="a7"/>
        <w:numPr>
          <w:ilvl w:val="1"/>
          <w:numId w:val="39"/>
        </w:numPr>
        <w:spacing w:beforeLines="50"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b/>
          <w:bCs/>
          <w:kern w:val="0"/>
          <w:sz w:val="28"/>
          <w:szCs w:val="28"/>
        </w:rPr>
        <w:t>芬兰运用大数据支持可持续林业发展</w:t>
      </w:r>
    </w:p>
    <w:p w:rsidR="00D63275" w:rsidRPr="003D66E7" w:rsidRDefault="005820ED" w:rsidP="0052228C">
      <w:pPr>
        <w:pStyle w:val="a7"/>
        <w:numPr>
          <w:ilvl w:val="1"/>
          <w:numId w:val="39"/>
        </w:numPr>
        <w:spacing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hint="eastAsia"/>
          <w:b/>
          <w:bCs/>
          <w:kern w:val="0"/>
          <w:sz w:val="28"/>
          <w:szCs w:val="28"/>
        </w:rPr>
        <w:t>内蒙古</w:t>
      </w:r>
      <w:r w:rsidR="00D63275" w:rsidRPr="003D66E7">
        <w:rPr>
          <w:rFonts w:asciiTheme="minorEastAsia" w:hAnsiTheme="minorEastAsia" w:cs="宋体"/>
          <w:b/>
          <w:bCs/>
          <w:kern w:val="0"/>
          <w:sz w:val="28"/>
          <w:szCs w:val="28"/>
        </w:rPr>
        <w:t>用大数据精准修复草原生态</w:t>
      </w:r>
    </w:p>
    <w:p w:rsidR="00D63275" w:rsidRPr="003D66E7" w:rsidRDefault="005820ED" w:rsidP="0052228C">
      <w:pPr>
        <w:pStyle w:val="a7"/>
        <w:numPr>
          <w:ilvl w:val="1"/>
          <w:numId w:val="39"/>
        </w:numPr>
        <w:spacing w:beforeLines="50"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b/>
          <w:bCs/>
          <w:kern w:val="0"/>
          <w:sz w:val="28"/>
          <w:szCs w:val="28"/>
        </w:rPr>
        <w:t>木兰林管局</w:t>
      </w:r>
      <w:r w:rsidRPr="003D66E7">
        <w:rPr>
          <w:rFonts w:asciiTheme="minorEastAsia" w:hAnsiTheme="minorEastAsia" w:cs="宋体" w:hint="eastAsia"/>
          <w:b/>
          <w:bCs/>
          <w:kern w:val="0"/>
          <w:sz w:val="28"/>
          <w:szCs w:val="28"/>
        </w:rPr>
        <w:t>用</w:t>
      </w:r>
      <w:r w:rsidR="00D63275" w:rsidRPr="003D66E7">
        <w:rPr>
          <w:rFonts w:asciiTheme="minorEastAsia" w:hAnsiTheme="minorEastAsia" w:cs="宋体"/>
          <w:b/>
          <w:bCs/>
          <w:kern w:val="0"/>
          <w:sz w:val="28"/>
          <w:szCs w:val="28"/>
        </w:rPr>
        <w:t>智慧林业助力近自然育林</w:t>
      </w:r>
    </w:p>
    <w:p w:rsidR="006743CF" w:rsidRPr="003D66E7" w:rsidRDefault="006743CF" w:rsidP="0052228C">
      <w:pPr>
        <w:spacing w:beforeLines="50" w:afterLines="50" w:line="280" w:lineRule="exact"/>
        <w:jc w:val="left"/>
        <w:rPr>
          <w:rFonts w:ascii="黑体" w:eastAsia="黑体" w:hAnsiTheme="minorEastAsia" w:cs="宋体"/>
          <w:b/>
          <w:color w:val="4F6228" w:themeColor="accent3" w:themeShade="80"/>
          <w:kern w:val="0"/>
          <w:sz w:val="30"/>
          <w:szCs w:val="30"/>
        </w:rPr>
      </w:pPr>
      <w:r w:rsidRPr="003D66E7">
        <w:rPr>
          <w:rFonts w:ascii="黑体" w:eastAsia="黑体" w:hAnsiTheme="minorEastAsia" w:cs="宋体" w:hint="eastAsia"/>
          <w:b/>
          <w:color w:val="4F6228" w:themeColor="accent3" w:themeShade="80"/>
          <w:kern w:val="0"/>
          <w:sz w:val="30"/>
          <w:szCs w:val="30"/>
        </w:rPr>
        <w:t>产业经济</w:t>
      </w:r>
      <w:r w:rsidR="003C3835" w:rsidRPr="003D66E7">
        <w:rPr>
          <w:rFonts w:ascii="黑体" w:eastAsia="黑体" w:hAnsiTheme="minorEastAsia" w:cs="宋体"/>
          <w:b/>
          <w:color w:val="4F6228" w:themeColor="accent3" w:themeShade="80"/>
          <w:kern w:val="0"/>
          <w:sz w:val="30"/>
          <w:szCs w:val="30"/>
        </w:rPr>
        <w:tab/>
      </w:r>
    </w:p>
    <w:p w:rsidR="00B30F22" w:rsidRPr="003D66E7" w:rsidRDefault="00B30F22" w:rsidP="0052228C">
      <w:pPr>
        <w:pStyle w:val="a7"/>
        <w:numPr>
          <w:ilvl w:val="1"/>
          <w:numId w:val="36"/>
        </w:numPr>
        <w:spacing w:beforeLines="50"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hint="eastAsia"/>
          <w:b/>
          <w:bCs/>
          <w:kern w:val="0"/>
          <w:sz w:val="28"/>
          <w:szCs w:val="28"/>
        </w:rPr>
        <w:t>2019年四大类林产品质量受监测</w:t>
      </w:r>
    </w:p>
    <w:p w:rsidR="00D63275" w:rsidRPr="003D66E7" w:rsidRDefault="00D63275" w:rsidP="0052228C">
      <w:pPr>
        <w:pStyle w:val="a7"/>
        <w:numPr>
          <w:ilvl w:val="1"/>
          <w:numId w:val="36"/>
        </w:numPr>
        <w:spacing w:beforeLines="50" w:afterLines="50" w:line="390" w:lineRule="exact"/>
        <w:ind w:firstLineChars="0"/>
        <w:rPr>
          <w:rFonts w:asciiTheme="minorEastAsia" w:hAnsiTheme="minorEastAsia" w:cs="宋体"/>
          <w:b/>
          <w:bCs/>
          <w:kern w:val="0"/>
          <w:sz w:val="28"/>
          <w:szCs w:val="28"/>
        </w:rPr>
      </w:pPr>
      <w:r w:rsidRPr="003D66E7">
        <w:rPr>
          <w:rFonts w:asciiTheme="minorEastAsia" w:hAnsiTheme="minorEastAsia" w:cs="宋体"/>
          <w:b/>
          <w:bCs/>
          <w:kern w:val="0"/>
          <w:sz w:val="28"/>
          <w:szCs w:val="28"/>
        </w:rPr>
        <w:t>细胞壁力学新技术将提速植物纤维产业</w:t>
      </w:r>
    </w:p>
    <w:p w:rsidR="000D4C1E" w:rsidRPr="003D66E7" w:rsidRDefault="008710D8" w:rsidP="0052228C">
      <w:pPr>
        <w:spacing w:beforeLines="50" w:afterLines="50" w:line="280" w:lineRule="exact"/>
        <w:jc w:val="left"/>
        <w:rPr>
          <w:rFonts w:ascii="黑体" w:eastAsia="黑体" w:hAnsiTheme="minorEastAsia" w:cs="宋体"/>
          <w:b/>
          <w:color w:val="4F6228" w:themeColor="accent3" w:themeShade="80"/>
          <w:kern w:val="0"/>
          <w:sz w:val="30"/>
          <w:szCs w:val="30"/>
        </w:rPr>
      </w:pPr>
      <w:r w:rsidRPr="003D66E7">
        <w:rPr>
          <w:rFonts w:ascii="黑体" w:eastAsia="黑体" w:hAnsiTheme="minorEastAsia" w:cs="宋体" w:hint="eastAsia"/>
          <w:b/>
          <w:color w:val="4F6228" w:themeColor="accent3" w:themeShade="80"/>
          <w:kern w:val="0"/>
          <w:sz w:val="30"/>
          <w:szCs w:val="30"/>
        </w:rPr>
        <w:t>科普</w:t>
      </w:r>
      <w:r w:rsidR="000D4C1E" w:rsidRPr="003D66E7">
        <w:rPr>
          <w:rFonts w:ascii="黑体" w:eastAsia="黑体" w:hAnsiTheme="minorEastAsia" w:cs="宋体" w:hint="eastAsia"/>
          <w:b/>
          <w:color w:val="4F6228" w:themeColor="accent3" w:themeShade="80"/>
          <w:kern w:val="0"/>
          <w:sz w:val="30"/>
          <w:szCs w:val="30"/>
        </w:rPr>
        <w:t>之窗</w:t>
      </w:r>
    </w:p>
    <w:p w:rsidR="0047131C" w:rsidRPr="003D66E7" w:rsidRDefault="0047131C" w:rsidP="0052228C">
      <w:pPr>
        <w:pStyle w:val="a7"/>
        <w:numPr>
          <w:ilvl w:val="1"/>
          <w:numId w:val="36"/>
        </w:numPr>
        <w:spacing w:afterLines="50" w:line="360" w:lineRule="exact"/>
        <w:ind w:firstLineChars="0"/>
        <w:rPr>
          <w:rFonts w:asciiTheme="minorEastAsia" w:hAnsiTheme="minorEastAsia" w:cs="宋体"/>
          <w:b/>
          <w:bCs/>
          <w:kern w:val="0"/>
          <w:sz w:val="28"/>
          <w:szCs w:val="28"/>
        </w:rPr>
      </w:pPr>
      <w:r w:rsidRPr="003D66E7">
        <w:rPr>
          <w:rFonts w:asciiTheme="minorEastAsia" w:hAnsiTheme="minorEastAsia" w:cs="宋体"/>
          <w:b/>
          <w:bCs/>
          <w:kern w:val="0"/>
          <w:sz w:val="28"/>
          <w:szCs w:val="28"/>
        </w:rPr>
        <w:t>科学家揭开毛白杨身世之谜</w:t>
      </w:r>
    </w:p>
    <w:p w:rsidR="00501AB9" w:rsidRDefault="00501AB9" w:rsidP="0052228C">
      <w:pPr>
        <w:spacing w:beforeLines="50" w:afterLines="50" w:line="280" w:lineRule="exact"/>
        <w:jc w:val="left"/>
        <w:rPr>
          <w:rFonts w:asciiTheme="minorEastAsia" w:hAnsiTheme="minorEastAsia" w:cs="宋体"/>
          <w:b/>
          <w:bCs/>
          <w:kern w:val="0"/>
          <w:sz w:val="24"/>
          <w:szCs w:val="24"/>
        </w:rPr>
      </w:pPr>
    </w:p>
    <w:p w:rsidR="005820ED" w:rsidRPr="0047131C" w:rsidRDefault="005820ED" w:rsidP="0052228C">
      <w:pPr>
        <w:pStyle w:val="a7"/>
        <w:widowControl/>
        <w:spacing w:beforeLines="50" w:afterLines="50" w:line="360" w:lineRule="exact"/>
        <w:ind w:left="840" w:rightChars="310" w:right="651" w:firstLineChars="0" w:firstLine="0"/>
        <w:outlineLvl w:val="1"/>
        <w:rPr>
          <w:rFonts w:asciiTheme="minorEastAsia" w:hAnsiTheme="minorEastAsia" w:cs="宋体"/>
          <w:b/>
          <w:bCs/>
          <w:kern w:val="0"/>
          <w:sz w:val="24"/>
          <w:szCs w:val="24"/>
        </w:rPr>
      </w:pPr>
    </w:p>
    <w:p w:rsidR="00493486" w:rsidRPr="009471ED" w:rsidRDefault="00B5330A" w:rsidP="006C326D">
      <w:pPr>
        <w:spacing w:line="380" w:lineRule="exact"/>
        <w:ind w:firstLineChars="200" w:firstLine="562"/>
        <w:rPr>
          <w:rFonts w:ascii="Simsun" w:hAnsi="Simsun" w:hint="eastAsia"/>
          <w:b/>
          <w:bCs/>
          <w:shd w:val="clear" w:color="auto" w:fill="FDF9EE"/>
        </w:rPr>
      </w:pPr>
      <w:r w:rsidRPr="00B5330A">
        <w:rPr>
          <w:rFonts w:asciiTheme="minorEastAsia" w:eastAsia="宋体" w:hAnsiTheme="minorEastAsia" w:hint="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1.95pt;margin-top:.8pt;width:82.8pt;height:42.75pt;z-index:251662336">
            <v:textbox style="mso-next-textbox:#_x0000_s2054">
              <w:txbxContent>
                <w:p w:rsidR="003948E4" w:rsidRPr="003C3835" w:rsidRDefault="003948E4">
                  <w:pPr>
                    <w:rPr>
                      <w:b/>
                      <w:color w:val="984806" w:themeColor="accent6" w:themeShade="80"/>
                      <w:sz w:val="28"/>
                      <w:szCs w:val="28"/>
                    </w:rPr>
                  </w:pPr>
                  <w:r w:rsidRPr="003C3835">
                    <w:rPr>
                      <w:rFonts w:hint="eastAsia"/>
                      <w:b/>
                      <w:color w:val="984806" w:themeColor="accent6" w:themeShade="80"/>
                      <w:sz w:val="28"/>
                      <w:szCs w:val="28"/>
                    </w:rPr>
                    <w:t>行业动态</w:t>
                  </w:r>
                </w:p>
                <w:p w:rsidR="003948E4" w:rsidRPr="005F02BE" w:rsidRDefault="003948E4">
                  <w:pPr>
                    <w:rPr>
                      <w:b/>
                      <w:sz w:val="28"/>
                      <w:szCs w:val="28"/>
                    </w:rPr>
                  </w:pPr>
                </w:p>
              </w:txbxContent>
            </v:textbox>
          </v:shape>
        </w:pic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cs="宋体"/>
                <w:kern w:val="0"/>
                <w:sz w:val="24"/>
                <w:szCs w:val="24"/>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602"/>
              <w:rPr>
                <w:rFonts w:asciiTheme="minorEastAsia" w:hAnsiTheme="minorEastAsia" w:cs="宋体"/>
                <w:b/>
                <w:kern w:val="0"/>
                <w:sz w:val="30"/>
                <w:szCs w:val="30"/>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602"/>
              <w:rPr>
                <w:rFonts w:asciiTheme="minorEastAsia" w:hAnsiTheme="minorEastAsia"/>
                <w:b/>
                <w:bCs/>
                <w:sz w:val="30"/>
                <w:szCs w:val="30"/>
                <w:shd w:val="clear" w:color="auto" w:fill="FFFFFF"/>
              </w:rPr>
            </w:pPr>
          </w:p>
        </w:tc>
      </w:tr>
      <w:tr w:rsidR="00493486" w:rsidRPr="009471ED" w:rsidTr="003948E4">
        <w:trPr>
          <w:tblCellSpacing w:w="0" w:type="dxa"/>
        </w:trPr>
        <w:tc>
          <w:tcPr>
            <w:tcW w:w="5000" w:type="pct"/>
            <w:shd w:val="clear" w:color="auto" w:fill="FFFFFF"/>
            <w:vAlign w:val="center"/>
            <w:hideMark/>
          </w:tcPr>
          <w:p w:rsidR="000B0A84" w:rsidRPr="009471ED" w:rsidRDefault="000B0A84"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9471ED" w:rsidTr="003948E4">
        <w:trPr>
          <w:tblCellSpacing w:w="0" w:type="dxa"/>
        </w:trPr>
        <w:tc>
          <w:tcPr>
            <w:tcW w:w="5000" w:type="pct"/>
            <w:shd w:val="clear" w:color="auto" w:fill="FFFFFF"/>
            <w:vAlign w:val="center"/>
            <w:hideMark/>
          </w:tcPr>
          <w:p w:rsidR="00493486" w:rsidRPr="009471ED"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bl>
    <w:p w:rsidR="00163259" w:rsidRDefault="00163259" w:rsidP="00163259">
      <w:pPr>
        <w:widowControl/>
        <w:spacing w:line="392" w:lineRule="exact"/>
        <w:ind w:firstLineChars="200" w:firstLine="560"/>
        <w:rPr>
          <w:rFonts w:ascii="黑体" w:eastAsia="黑体" w:cs="宋体"/>
          <w:bCs/>
          <w:kern w:val="0"/>
          <w:sz w:val="28"/>
          <w:szCs w:val="28"/>
        </w:rPr>
      </w:pPr>
    </w:p>
    <w:p w:rsidR="00B30F22" w:rsidRPr="0052228C" w:rsidRDefault="00B30F22" w:rsidP="0052228C">
      <w:pPr>
        <w:widowControl/>
        <w:spacing w:beforeLines="50" w:afterLines="50" w:line="390" w:lineRule="exact"/>
        <w:ind w:rightChars="310" w:right="651"/>
        <w:jc w:val="center"/>
        <w:outlineLvl w:val="1"/>
        <w:rPr>
          <w:rFonts w:asciiTheme="minorEastAsia" w:hAnsiTheme="minorEastAsia" w:cs="宋体"/>
          <w:bCs/>
          <w:kern w:val="0"/>
          <w:sz w:val="28"/>
          <w:szCs w:val="28"/>
        </w:rPr>
      </w:pPr>
      <w:r w:rsidRPr="0052228C">
        <w:rPr>
          <w:rFonts w:asciiTheme="minorEastAsia" w:hAnsiTheme="minorEastAsia" w:cs="宋体" w:hint="eastAsia"/>
          <w:bCs/>
          <w:kern w:val="0"/>
          <w:sz w:val="28"/>
          <w:szCs w:val="28"/>
        </w:rPr>
        <w:t>2019年全球生态保护8个新问题</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近日，由英国自然环境研究理事会（NERC）资助、英美中等国的近30名学者共同完成的《2019年全球生态保护新兴问题预测报告》在学术期刊《生态与进化趋势》上发布。《报告》聚焦2019年全球生物多样性和生态保护可能面临的威胁和挑战，从91个候选问题中挑选了可能产生最大影响但却最不为人知的15个问题，其中8个问题与人们印象中的生态保护关系更密切。</w:t>
      </w:r>
    </w:p>
    <w:p w:rsidR="00B30F22" w:rsidRPr="0052228C" w:rsidRDefault="00B30F22" w:rsidP="00B73C61">
      <w:pPr>
        <w:widowControl/>
        <w:spacing w:line="390" w:lineRule="exact"/>
        <w:ind w:rightChars="-27" w:right="-57"/>
        <w:rPr>
          <w:rFonts w:asciiTheme="minorEastAsia" w:hAnsiTheme="minorEastAsia" w:cs="宋体"/>
          <w:kern w:val="0"/>
          <w:sz w:val="24"/>
          <w:szCs w:val="24"/>
        </w:rPr>
      </w:pPr>
      <w:r w:rsidRPr="0052228C">
        <w:rPr>
          <w:rFonts w:asciiTheme="minorEastAsia" w:hAnsiTheme="minorEastAsia" w:cs="宋体" w:hint="eastAsia"/>
          <w:kern w:val="0"/>
          <w:sz w:val="24"/>
          <w:szCs w:val="24"/>
        </w:rPr>
        <w:t xml:space="preserve">    一、气候变化导致南极底栖生物储碳能力发生变化</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南极冰层正在以高于预计的速度融化，导致大量的淡水流出和消失，近岸区盐度急剧变化。这种融化还导致沉积物增加，造成陆地周围海湾和峡湾中的底栖生物群落窒息。此外，海冰的快速消失会减缓浮游植物的繁殖，增加冰山海底碰撞（或冰冲刷）的可能性，导致底栖动物大量死亡。极地大陆礁层上的海床是地球上最大的海洋碳库（蓝碳），其生态系统功能对全球碳循环和气候变化有巨大影响。</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二、永久冻土解冻导致大量汞释放危害动植物</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汞的毒性很强，并可在水生和陆地食物链中积累。最近的两项研究发现，解冻永久冻土释放汞的规模，可能比以前认为的要大得多。鉴于气候变化可能导致大部分永久冻土在下个世纪解冻，大部分汞将经土壤、溪流和河流输入海洋。经长期生物积累或微生物转化，可形成剧毒的甲基汞，对陆地和水生生物产生深远影响。</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三、美国政府决定不再监管经过基因编辑的植物</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使用新技术进行基因编辑，可以比传统方法更快速更精确地引入植物性状，提高作物生产力。2018年3月，美国农业部宣布，不再对本可通过传统育种技术生长的基因编辑植物进行调控。与之相反，2018年7月，欧洲法院宣布，基因编辑的作物应遵守适用于基因改良生物的同样严格的法规。</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美国取消监管可能会促进基因编辑的创新。目前，旨在提高效率而不引起其他具有</w:t>
      </w:r>
      <w:r w:rsidR="00853C01" w:rsidRPr="0052228C">
        <w:rPr>
          <w:rFonts w:asciiTheme="minorEastAsia" w:hAnsiTheme="minorEastAsia" w:cs="宋体" w:hint="eastAsia"/>
          <w:kern w:val="0"/>
          <w:sz w:val="24"/>
          <w:szCs w:val="24"/>
        </w:rPr>
        <w:t>意想不到和不良后果的基因组变化的研究正在进行。这些技术可能会对</w:t>
      </w:r>
      <w:r w:rsidRPr="0052228C">
        <w:rPr>
          <w:rFonts w:asciiTheme="minorEastAsia" w:hAnsiTheme="minorEastAsia" w:cs="宋体" w:hint="eastAsia"/>
          <w:kern w:val="0"/>
          <w:sz w:val="24"/>
          <w:szCs w:val="24"/>
        </w:rPr>
        <w:t>生物多样性可能产生不同的影响。例如，可能会减少农业化学品的使用和生产作物所需的土地，进一步加强种植业和林业，也可能对本地物种产生难以预见的影响。</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四、可产生脂肪酸的转基因油料作物对昆虫的影响</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油料作物的基因改造工程旨在生产omega-3脂肪酸二十碳五烯酸（EPA）和二十二碳五烯酸（DHA），这两种物质在陆生植物中较为少见。该技术提高了油籽的营养价值，还可以大大减少为获取脂肪酸而捕捞野生鱼类的活动。然而，油籽脂肪含量中EPA和DHA的增加，会对于陆地昆虫的健康、生长、认知和存活产生重要影响。例如，蝴蝶幼虫发育过程中若以这些作物为食，会导致成虫翅膀较小，容易变形。目前，尚不清</w:t>
      </w:r>
      <w:r w:rsidRPr="0052228C">
        <w:rPr>
          <w:rFonts w:asciiTheme="minorEastAsia" w:hAnsiTheme="minorEastAsia" w:cs="宋体" w:hint="eastAsia"/>
          <w:kern w:val="0"/>
          <w:sz w:val="24"/>
          <w:szCs w:val="24"/>
        </w:rPr>
        <w:lastRenderedPageBreak/>
        <w:t>楚世界各地的监管机构是否已开始研究这些新作物对农区动物（特别是昆虫）造成影响的可能性。</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五、利用植物微生物群落进行农业生产和生态系统恢复</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寄生在植物上的微生物群落，有助于增强植物对干旱等的耐受性，促进植物生长并提高抗病性。通过调控植物微生物群落提高生态系统恢复的成功率，对提高农林业产量和抗病能力具有巨大潜力。调控复杂的微生物群落还很难实现。但技术进步使这一领域焕发活力。功能性编程的植物微生物群落对生物多样性具有双重影响，在减少农药和化肥使用的同时，也可能导致农业活动扩展到野生动植物丰富的农业边缘领域。</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六、印尼-马来群岛扩建种植园和基础设施产生的影响</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许多印尼-马来岛屿上拥有丰富的物种和极高的物种特有性。但该地区只有2%的土地受到保护，森林采伐不断增加。除了棕榈种植园外，该地区的基础设施也在扩建。1980-2014年，全球棕榈油年产量从450万吨增加到7000万吨，预计2050年前，其需求量将以每年1.7%的速度增长。棕榈油种植园扩建未充分考虑对生物多样性脆弱小岛生态系统造成的影响。棕榈油种植园的进一步扩建可能导致该地区大量物种灭绝。</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七、工业化生产微生物饲料</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人口增长和饮食变化导致对来自牲畜的高质量蛋白质的需求日益增加，并影响到生态环境，包括土地利用变化、生物多样性丧失、营养物质富集和温室气体排放等。新型牲畜饲料原料可以减轻上述影响。一种方法是用工业化生产的微生物蛋白喂养动物。用微生物蛋白取代2%的牲畜饲料，可以减少超过5%的耕地面积、氮损失和农业温室气体排放。由天然气或氢气产生的微生物蛋白质，可以减少用于生产的农田和耕种产生的负面影响，但需要大量能量。转换生产系统对人类生计的全球性影响尚不清楚。</w:t>
      </w:r>
    </w:p>
    <w:p w:rsidR="00B30F22" w:rsidRPr="0052228C" w:rsidRDefault="00B30F22"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八、使用创新型保险产品保护自然资产</w:t>
      </w:r>
    </w:p>
    <w:p w:rsidR="00B30F22" w:rsidRPr="0052228C" w:rsidRDefault="00B30F22" w:rsidP="0052228C">
      <w:pPr>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可持续管理可以使生态系统为人们提供多种服务。人类正努力开发自然资产的保险产品，保护自然资产，并提供修复或恢复的资金。对自然资产投保以免受损失或损害，是新的发展趋势。创新保险产品有助于保护并改善自然系统的健康水平。</w:t>
      </w:r>
    </w:p>
    <w:p w:rsidR="00171C8A" w:rsidRPr="0052228C" w:rsidRDefault="00091896" w:rsidP="0052228C">
      <w:pPr>
        <w:widowControl/>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bCs/>
          <w:kern w:val="0"/>
          <w:sz w:val="28"/>
          <w:szCs w:val="28"/>
        </w:rPr>
        <w:t>美德</w:t>
      </w:r>
      <w:r w:rsidR="0014122D" w:rsidRPr="0052228C">
        <w:rPr>
          <w:rFonts w:asciiTheme="minorEastAsia" w:hAnsiTheme="minorEastAsia" w:cs="宋体"/>
          <w:bCs/>
          <w:kern w:val="0"/>
          <w:sz w:val="28"/>
          <w:szCs w:val="28"/>
        </w:rPr>
        <w:t>林业标准的</w:t>
      </w:r>
      <w:r w:rsidRPr="0052228C">
        <w:rPr>
          <w:rFonts w:asciiTheme="minorEastAsia" w:hAnsiTheme="minorEastAsia" w:cs="宋体"/>
          <w:bCs/>
          <w:kern w:val="0"/>
          <w:sz w:val="28"/>
          <w:szCs w:val="28"/>
        </w:rPr>
        <w:t>体系与政策</w:t>
      </w:r>
    </w:p>
    <w:p w:rsidR="00091896" w:rsidRPr="0052228C" w:rsidRDefault="00091896" w:rsidP="0052228C">
      <w:pPr>
        <w:widowControl/>
        <w:spacing w:line="390" w:lineRule="exact"/>
        <w:ind w:rightChars="2" w:right="4"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经济全球化的发展，使世界范围内的标准竞争变得日趋激烈，各国标准化战略呈现出许多新特点。我国加入WTO后，所面临的林产品国际贸易技术壁垒问题日益凸显，发达国家利用自身的技术优势，在标准制定、认证认可、检出指标和检测限值等方面设置种种障碍，阻碍了我国林产品的出口。我国标准化建设正处于关键的转型时期，了解发达国家在林业标准制定、标准实施、标准管理等方面的经验和做法，对于完善我国林业标准化体系建设、有效规避国外标准壁垒，具有重要意义。</w:t>
      </w:r>
    </w:p>
    <w:p w:rsidR="00091896" w:rsidRPr="0052228C" w:rsidRDefault="00091896"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目前，国外关于单独林业标准化的文献很少，美德林业标准体系多包含在农业标准化体系中，林业标准也属于农业标准的一部分。</w:t>
      </w:r>
    </w:p>
    <w:p w:rsidR="00091896" w:rsidRPr="0052228C" w:rsidRDefault="00091896" w:rsidP="0052228C">
      <w:pPr>
        <w:widowControl/>
        <w:spacing w:line="390" w:lineRule="exact"/>
        <w:ind w:rightChars="310" w:right="651" w:firstLineChars="200" w:firstLine="480"/>
        <w:jc w:val="left"/>
        <w:rPr>
          <w:rFonts w:asciiTheme="minorEastAsia" w:hAnsiTheme="minorEastAsia" w:cs="宋体"/>
          <w:kern w:val="0"/>
          <w:sz w:val="24"/>
          <w:szCs w:val="24"/>
        </w:rPr>
      </w:pPr>
      <w:r w:rsidRPr="0052228C">
        <w:rPr>
          <w:rFonts w:asciiTheme="minorEastAsia" w:hAnsiTheme="minorEastAsia" w:cs="宋体" w:hint="eastAsia"/>
          <w:kern w:val="0"/>
          <w:sz w:val="24"/>
          <w:szCs w:val="24"/>
        </w:rPr>
        <w:t>一、</w:t>
      </w:r>
      <w:r w:rsidRPr="0052228C">
        <w:rPr>
          <w:rFonts w:asciiTheme="minorEastAsia" w:hAnsiTheme="minorEastAsia" w:cs="宋体"/>
          <w:kern w:val="0"/>
          <w:sz w:val="24"/>
          <w:szCs w:val="24"/>
        </w:rPr>
        <w:t>美国</w:t>
      </w:r>
    </w:p>
    <w:p w:rsidR="00091896" w:rsidRPr="0052228C" w:rsidRDefault="00091896" w:rsidP="0052228C">
      <w:pPr>
        <w:widowControl/>
        <w:tabs>
          <w:tab w:val="left" w:pos="8115"/>
        </w:tabs>
        <w:spacing w:line="390" w:lineRule="exact"/>
        <w:ind w:rightChars="67" w:right="141" w:firstLineChars="200" w:firstLine="480"/>
        <w:jc w:val="left"/>
        <w:rPr>
          <w:rFonts w:asciiTheme="minorEastAsia" w:hAnsiTheme="minorEastAsia" w:cs="宋体"/>
          <w:kern w:val="0"/>
          <w:sz w:val="24"/>
          <w:szCs w:val="24"/>
        </w:rPr>
      </w:pPr>
      <w:r w:rsidRPr="0052228C">
        <w:rPr>
          <w:rFonts w:asciiTheme="minorEastAsia" w:hAnsiTheme="minorEastAsia" w:cs="宋体" w:hint="eastAsia"/>
          <w:kern w:val="0"/>
          <w:sz w:val="24"/>
          <w:szCs w:val="24"/>
        </w:rPr>
        <w:lastRenderedPageBreak/>
        <w:t>（</w:t>
      </w:r>
      <w:r w:rsidRPr="0052228C">
        <w:rPr>
          <w:rFonts w:asciiTheme="minorEastAsia" w:hAnsiTheme="minorEastAsia" w:cs="宋体"/>
          <w:kern w:val="0"/>
          <w:sz w:val="24"/>
          <w:szCs w:val="24"/>
        </w:rPr>
        <w:t>一） 美国林业标准管理体制</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美国涉及林业标准化管理的机构有：美国国家标准学会 (ANSI ) 、美国国家标准与技术研究院(NIST)、美国农业部（USDA）、美国联邦环境保护署(EPA)。其中，美国国家标准学会是非营利民间标准化团体，实际上已成为国家标准化中心，发挥了联邦政府和民间标准化系统之间的桥梁作用，协调并指导全国标准化活动，给标准制定、研究和使用单位提供帮助和内外标准化情报。</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美国标准化管理体制有两个特点，即法律衔接是美国标准化管理体制的根本保障；共同治理是美国标准化管理体制的核心理念。</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美国首先通过法律程序成立标准化管理机构，随后通过一系列有关标准化的法律，为美国标准化管理制度奠定基础，并确立了美国标准化的原则，即由市场主导，以自愿性标准为主，制定过程公开公平，并采取协商一致的原则。</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目前，在美国标准化领域，政府部门、私营部门和第三部门三方面的力量都积极参与，各个参与主体依据各自职能和角色定位与另外两个部门互动，形成了美国标准化共同治理的格局。在第三部门范围内，ANSI是核心，不仅负责授权标准制定机构，也负责对合格评定机构进行认证。</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（二）美国林业标准运行机制</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美国具有比较完善的农业标准化运行管理部门。在农业标准运行过程中，美国政府的主要职责是监督与执法；各级管理机构分工明确，协同监管标准的运行；美国标准运行公开、透明，不但建立信息披露制度，而且运行机制强化风险防范与管理，启用标准的预警系统，对运行过程进行监督管理。美国的农产品安全预警系统主要由两类机构组成，即农产品食品安全预警信息管理、发布和检测、科研机构，包括食品药品管理局(FDA)、农业部食品安全检验局(FSIS)、疾病控制预防中心(CDC)、美国联邦环境保护署(EPA)、美国联邦公民信息中心(FCIC)。通过完善、系统的法律法规体系，以科学的风险分析原则及复杂、多样的预警措施实现预警。</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（三）林业标准化相关法律、法规</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美国与农业标准化有关的法律有4部，即《联邦谷物标准法》《农业营销法》《联邦种子法》和《联邦食品药物化妆品法》。前三部法律由联邦农业部负责实施，后一部法律由联邦人类事务部负责实施。</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农业、林业技术标准主要由经过ANSI认可的行业协会、标准化技术委员会制定。美国的涉林标准主要集中在林产化学加工学、森林土壤学、木材学、森林昆虫学和木材加工与人造板工艺学5个领域。美国国家标准学会和美国材料与实验协会是发布涉林标准最多的部门。</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（四）美国林业标准化体系</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美国农业标准体系由ANSI为协调中心的国家标准体系、联邦政府机构的标准体系、非政府机构的标准体系组成。农业标准由各级政府部门制定的标准属于技术法规的范畴，是强制执行的，自愿性标准一旦被政府部门的法律、法规采用, 就具有</w:t>
      </w:r>
      <w:r w:rsidRPr="0052228C">
        <w:rPr>
          <w:rFonts w:asciiTheme="minorEastAsia" w:hAnsiTheme="minorEastAsia" w:cs="宋体"/>
          <w:kern w:val="0"/>
          <w:sz w:val="24"/>
          <w:szCs w:val="24"/>
        </w:rPr>
        <w:lastRenderedPageBreak/>
        <w:t>强制性, 必须严格遵守。同时，美国政府广泛依赖和使用非政府机构制定的自愿性标准。</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现行的美国标准体系，实际上由3个子体系组成，即以ANSI为协调中心的国家标准体系，联邦政府机构的标准体系和非政府机构 (民间团体) 的标准体系。美国农业标准化有4个显著特点：没有独立的技术标准法规体系；标准并非都是强制执行；制定农产品质量分级标准并提供有偿自愿性检验服务；在种业拥有成熟的技术标准。</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（五）美国标准化战略</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2000年，ANSI发布了《美国国家标准战略》（NSS），明确了标准制定中的“四项原则”：建立在利益各方一致同意基础上的协商一致原则；向所有可能受到影响的利益主体开放的公开参与和公平竞争原则；标准制定程序和进度信息的程序透明原则；标准制定修订程序灵活性、及时性和一致性</w:t>
      </w:r>
      <w:r w:rsidR="00B93F1C" w:rsidRPr="0052228C">
        <w:rPr>
          <w:rFonts w:asciiTheme="minorEastAsia" w:hAnsiTheme="minorEastAsia" w:cs="宋体" w:hint="eastAsia"/>
          <w:kern w:val="0"/>
          <w:sz w:val="24"/>
          <w:szCs w:val="24"/>
        </w:rPr>
        <w:t>。</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二、</w:t>
      </w:r>
      <w:r w:rsidRPr="0052228C">
        <w:rPr>
          <w:rFonts w:asciiTheme="minorEastAsia" w:hAnsiTheme="minorEastAsia" w:cs="宋体"/>
          <w:kern w:val="0"/>
          <w:sz w:val="24"/>
          <w:szCs w:val="24"/>
        </w:rPr>
        <w:t>德国</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（一）德国林业标准管理体制</w:t>
      </w:r>
    </w:p>
    <w:p w:rsidR="00091896" w:rsidRPr="0052228C" w:rsidRDefault="00091896"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德国涉及林业标准化管理的机构有：德国标准化学会（DIN)、德国农业协会（DLG）及德国农业部消费者保护和食品安全局。德国国家标准的制定修订由DIN负责。DIN是一个注册私立协会，但并非传统意义上的非营利性组织。DIN标准享有事实上的法律约束力。DIN下辖78个标准委员会，其中的食品与农产品标准委员会（NAL）负责农业及食品领域的标准制定修订工作。德国标准与国际标准、欧盟标准具有高度协调性。</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（二）林业标准化组织与政府的关系</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德国政府承认DIN是国家级标准化权威机构，但DIN不隶属于政府，DIN与政府的关系是平等合作关系。DIN在与德国联邦政府签署的法律协议中对此也做出了承诺，同时承诺遵循透明的标准制定程序；联邦政府对DIN的承诺进行法律监督并对其给予相应的财政扶持。DIN为政府职能的实施起到两方面的作用：一是支持作用，即本身没有制约力的技术标准可以通过政府的援引和吸收，转化为政府的法规和管理条例；二是弥补作用，即在缺少政府的法规和管理条例的情况下, 技术标准可以直接被行政机关和法院援引作为决策的重要依据。</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（三）德国林业标准的运行</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DIN负责德国农业标准的起草、制定、发布、修订、废止工作。德国产品标准的实际制定者是DIN下辖的标准委员会及其下设的工作组。DIN为这些标准委员会制定工作程序框架，但具体标准的制定由各工作组在标准委员会中完成。</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DIN标准制定修订遵循的原则为协调性原则、连续性原则、兼顾各方利益原则、透明性原则。DIN标准的制定修订程序遵循国际通行的“合意制”。在几乎每一个标准起草阶段都会发布一些公开的要求，以便让所有利益相关方和公众了解新的标准</w:t>
      </w:r>
      <w:r w:rsidRPr="0052228C">
        <w:rPr>
          <w:rFonts w:asciiTheme="minorEastAsia" w:hAnsiTheme="minorEastAsia" w:cs="宋体"/>
          <w:kern w:val="0"/>
          <w:sz w:val="24"/>
          <w:szCs w:val="24"/>
        </w:rPr>
        <w:lastRenderedPageBreak/>
        <w:t>项目并提出自己的意见建议。一般来说，DIN开发一项新的标准需要耗时3年。每隔5年，DIN都要对其制定的标准进行一次复审和修订。</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德国的涉林标准主要集中在木材学、木材加工与人造板工艺学、森林土壤学、林产化学加工学4个领域。涉林标准全部由DIN发布。</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基层机构负责法规和标准的具体实施。德国有429 个县市，地方上的基层管理机构负责食品( 含农产品) 的现场监督任务。在推进农业标准化发展的过程中，他们主要采取了以下几方面的措施：一是实施农产品生产环境的标准化；二是重视农业生产过程与工艺的标准化；三是严格农产品质量的标准化。作为欧盟成员国,德国的农产品标准和许多相关法规都参照欧盟执行。</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（四）德国标准化战略</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2003年起，DIN牵头组织开展了面向未来、面向社会各界的德国标准化战略目标研究，2005年发布的德国标准化战略包括5项目标和23项相应措施。5项目标是：以标准化确保德国工业领先国家的地位；以标准化作为支撑经济和社会取得成功的战略工具；以标准化作为政府放松管制的手段；以标准化及标准机构促进技术融合；为标准机构提供有效程序和工具。</w:t>
      </w:r>
    </w:p>
    <w:p w:rsidR="00091896" w:rsidRPr="0052228C" w:rsidRDefault="00091896"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2013年4月，德国正式推出《德国工业4.0战略计划实施建议》，旨在支持德国工业领域新一代革命性技术的研发与创新，确保德国强有力的国际竞争地位。2013年，DIN发布了“工业4.0标准化路线图”，以期通过主导标准化进程引领“工业4.0”的发展，并引导“工业4.0”从德国走向世界</w:t>
      </w:r>
      <w:r w:rsidRPr="0052228C">
        <w:rPr>
          <w:rFonts w:asciiTheme="minorEastAsia" w:hAnsiTheme="minorEastAsia" w:cs="宋体" w:hint="eastAsia"/>
          <w:kern w:val="0"/>
          <w:sz w:val="24"/>
          <w:szCs w:val="24"/>
        </w:rPr>
        <w:t>。</w:t>
      </w:r>
    </w:p>
    <w:p w:rsidR="00091896" w:rsidRPr="0052228C" w:rsidRDefault="00091896" w:rsidP="0052228C">
      <w:pPr>
        <w:widowControl/>
        <w:tabs>
          <w:tab w:val="left" w:pos="8115"/>
        </w:tabs>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三、</w:t>
      </w:r>
      <w:r w:rsidRPr="0052228C">
        <w:rPr>
          <w:rFonts w:asciiTheme="minorEastAsia" w:hAnsiTheme="minorEastAsia" w:cs="宋体"/>
          <w:kern w:val="0"/>
          <w:sz w:val="24"/>
          <w:szCs w:val="24"/>
        </w:rPr>
        <w:t>借鉴与启示</w:t>
      </w:r>
    </w:p>
    <w:p w:rsidR="00091896" w:rsidRPr="0052228C" w:rsidRDefault="00091896"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随着我国对外贸易的不断扩大，建立一个既与国际接轨，又符合中国国情的标准化体系，充分发挥标准化工作对我国国民经济和社会发展的促进作用，是我国标准化工作改革面临的挑战。研究美德林业标准体系，可为我国林业标准化体系建设提供借鉴与启示：一是适应标准国际化发展趋势，系统研究国际主流农业、林业标准及相关法规；二是加强我国优势农林产品加工标准的制定，构建更为科学的农林产品加工标准体系；三是加强标准立法，强化农林标准执行状况的监督和管理职能；四是加强多部门协同合作，提高标准的科学性和可操作性；五是加强农林标准的培训，培育标准化人才，保证标准的协调和统一，实现标准战略上的“走出去”。</w:t>
      </w:r>
    </w:p>
    <w:p w:rsidR="005C22F9" w:rsidRPr="0052228C" w:rsidRDefault="00565515" w:rsidP="0052228C">
      <w:pPr>
        <w:spacing w:beforeLines="50" w:afterLines="50" w:line="390" w:lineRule="exact"/>
        <w:ind w:rightChars="310" w:right="651"/>
        <w:jc w:val="center"/>
        <w:rPr>
          <w:rFonts w:asciiTheme="minorEastAsia" w:hAnsiTheme="minorEastAsia" w:cs="宋体"/>
          <w:bCs/>
          <w:kern w:val="0"/>
          <w:sz w:val="28"/>
          <w:szCs w:val="28"/>
        </w:rPr>
      </w:pPr>
      <w:r w:rsidRPr="0052228C">
        <w:rPr>
          <w:rFonts w:asciiTheme="minorEastAsia" w:hAnsiTheme="minorEastAsia" w:cs="宋体" w:hint="eastAsia"/>
          <w:bCs/>
          <w:kern w:val="0"/>
          <w:sz w:val="28"/>
          <w:szCs w:val="28"/>
        </w:rPr>
        <w:t>我</w:t>
      </w:r>
      <w:r w:rsidR="005C22F9" w:rsidRPr="0052228C">
        <w:rPr>
          <w:rFonts w:asciiTheme="minorEastAsia" w:hAnsiTheme="minorEastAsia" w:cs="宋体"/>
          <w:bCs/>
          <w:kern w:val="0"/>
          <w:sz w:val="28"/>
          <w:szCs w:val="28"/>
        </w:rPr>
        <w:t>国天然林进入全面保护新阶段</w:t>
      </w:r>
    </w:p>
    <w:p w:rsidR="0014122D" w:rsidRPr="0052228C" w:rsidRDefault="005C22F9"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4月19日，国家林业和草原局召开的新闻发布会提出，我国天然林保护从以工程建设为主导转向全面保护的新阶段，取得了巨大的生态、经济和社会效益。</w:t>
      </w:r>
    </w:p>
    <w:p w:rsidR="00163259" w:rsidRPr="0052228C" w:rsidRDefault="005C22F9"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1998年，党中央、国务院作出了在长江上游、黄河上中游地区以及东北内蒙古等重点国有林区实施天然林资源保护工程的重大战略决策，我国林业发展开始从以木材生产为主向以生态建设为主转变。党的十八大以来，习近平总书记多次对天然林保护作出重要指示，明确提出“把所有天然林都保护起来”。国家林草局、财政部、国家</w:t>
      </w:r>
      <w:r w:rsidRPr="0052228C">
        <w:rPr>
          <w:rFonts w:asciiTheme="minorEastAsia" w:hAnsiTheme="minorEastAsia" w:cs="宋体"/>
          <w:kern w:val="0"/>
          <w:sz w:val="24"/>
          <w:szCs w:val="24"/>
        </w:rPr>
        <w:lastRenderedPageBreak/>
        <w:t>发展改革委等有关部门积极采取停伐、提标、扩面等政策措施，实现了全面保护天然林的历史性转折。2016年，经国务院批准，全面取消了“十三五”期间天然林商业性采伐限额指标，10.58亿亩国有天然林全部停伐，每年减少森林采伐量约900万立方米。适时提高天然林保护有关政策补助标准，其中国有林管护补助从2014年的每亩5元提高到2017年的每亩10元，天保工程职工社会保险缴费补助基数从2008年当地社会平均工资的80%提高到2016年的80%。中央财政及时安排资金，用于天保工程区外天然林停伐管护补助，全国新纳入天然林保护政策补助范围的天然商品林已达2亿多亩，基本实现了地域全覆盖。各地依托天保工程和天然林保护选聘生态护林员37万余人，带动130多万贫困人口增收脱贫。</w:t>
      </w:r>
    </w:p>
    <w:p w:rsidR="00862942" w:rsidRPr="0052228C" w:rsidRDefault="005C22F9"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目前，中央财政对天保工程的总投入已超过4000亿元，工程累计完成公益林建设任务2.75亿亩、后备森林资源培育1220万亩、中幼林抚育2.19亿亩。全国现有的19.44亿亩天然乔木林得以休养生息，天然林蓄积从20年前的90.73亿立方米增加到136.71亿立方米，为维护我国生态安全和生物多样性发挥了基础保障作用。重点国有林区依托天保工程政策和资金，稳步推动政企、政事、事企、管办“四分开”改革，65万多林业职工长期稳定就业。</w:t>
      </w:r>
    </w:p>
    <w:p w:rsidR="000520C3" w:rsidRPr="0052228C" w:rsidRDefault="005C22F9"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下一步，国家林业和草原局将开展天保工程二期评估，启动编制全国天然林保护修复中长期规划，积极推动天然林保护立法，及时制修订天然林保护相关技术标准规程</w:t>
      </w:r>
      <w:r w:rsidRPr="0052228C">
        <w:rPr>
          <w:rFonts w:asciiTheme="minorEastAsia" w:hAnsiTheme="minorEastAsia" w:cs="宋体" w:hint="eastAsia"/>
          <w:kern w:val="0"/>
          <w:sz w:val="24"/>
          <w:szCs w:val="24"/>
        </w:rPr>
        <w:t>。</w:t>
      </w:r>
    </w:p>
    <w:p w:rsidR="00565515" w:rsidRPr="0052228C" w:rsidRDefault="00B5330A" w:rsidP="0052228C">
      <w:pPr>
        <w:widowControl/>
        <w:spacing w:line="390" w:lineRule="exact"/>
        <w:ind w:firstLineChars="200" w:firstLine="480"/>
        <w:jc w:val="center"/>
        <w:rPr>
          <w:rFonts w:asciiTheme="minorEastAsia" w:hAnsiTheme="minorEastAsia" w:cs="宋体"/>
          <w:kern w:val="0"/>
          <w:sz w:val="24"/>
          <w:szCs w:val="24"/>
        </w:rPr>
      </w:pPr>
      <w:r w:rsidRPr="0052228C">
        <w:rPr>
          <w:rFonts w:asciiTheme="minorEastAsia" w:hAnsiTheme="minorEastAsia" w:cs="宋体"/>
          <w:bCs/>
          <w:kern w:val="0"/>
          <w:sz w:val="24"/>
          <w:szCs w:val="24"/>
        </w:rPr>
        <w:pict>
          <v:shape id="_x0000_s2078" type="#_x0000_t98" style="position:absolute;left:0;text-align:left;margin-left:2.55pt;margin-top:9.3pt;width:81.75pt;height:42.75pt;z-index:251672576">
            <v:textbox style="mso-next-textbox:#_x0000_s2078">
              <w:txbxContent>
                <w:p w:rsidR="003948E4" w:rsidRPr="003C3835" w:rsidRDefault="003948E4" w:rsidP="008E2BA2">
                  <w:pPr>
                    <w:rPr>
                      <w:b/>
                      <w:color w:val="984806" w:themeColor="accent6" w:themeShade="80"/>
                      <w:sz w:val="28"/>
                      <w:szCs w:val="28"/>
                    </w:rPr>
                  </w:pPr>
                  <w:r w:rsidRPr="003C3835">
                    <w:rPr>
                      <w:rFonts w:hint="eastAsia"/>
                      <w:b/>
                      <w:color w:val="984806" w:themeColor="accent6" w:themeShade="80"/>
                      <w:sz w:val="28"/>
                      <w:szCs w:val="28"/>
                    </w:rPr>
                    <w:t>科技资讯</w:t>
                  </w:r>
                </w:p>
              </w:txbxContent>
            </v:textbox>
          </v:shape>
        </w:pict>
      </w:r>
    </w:p>
    <w:p w:rsidR="0079740D" w:rsidRPr="0052228C" w:rsidRDefault="0079740D" w:rsidP="0052228C">
      <w:pPr>
        <w:widowControl/>
        <w:spacing w:line="390" w:lineRule="exact"/>
        <w:ind w:firstLineChars="200" w:firstLine="480"/>
        <w:jc w:val="center"/>
        <w:rPr>
          <w:rFonts w:asciiTheme="minorEastAsia" w:hAnsiTheme="minorEastAsia" w:cs="宋体"/>
          <w:kern w:val="0"/>
          <w:sz w:val="24"/>
          <w:szCs w:val="24"/>
        </w:rPr>
      </w:pPr>
    </w:p>
    <w:p w:rsidR="00565515" w:rsidRPr="0052228C" w:rsidRDefault="00565515" w:rsidP="0052228C">
      <w:pPr>
        <w:widowControl/>
        <w:spacing w:beforeLines="100" w:afterLines="50" w:line="360" w:lineRule="exact"/>
        <w:jc w:val="center"/>
        <w:rPr>
          <w:rFonts w:asciiTheme="minorEastAsia" w:hAnsiTheme="minorEastAsia" w:cs="宋体"/>
          <w:bCs/>
          <w:kern w:val="0"/>
          <w:sz w:val="28"/>
          <w:szCs w:val="28"/>
        </w:rPr>
      </w:pPr>
      <w:r w:rsidRPr="0052228C">
        <w:rPr>
          <w:rFonts w:asciiTheme="minorEastAsia" w:hAnsiTheme="minorEastAsia" w:cs="宋体" w:hint="eastAsia"/>
          <w:bCs/>
          <w:kern w:val="0"/>
          <w:sz w:val="28"/>
          <w:szCs w:val="28"/>
        </w:rPr>
        <w:t>世界</w:t>
      </w:r>
      <w:r w:rsidRPr="0052228C">
        <w:rPr>
          <w:rFonts w:asciiTheme="minorEastAsia" w:hAnsiTheme="minorEastAsia" w:cs="宋体"/>
          <w:bCs/>
          <w:kern w:val="0"/>
          <w:sz w:val="28"/>
          <w:szCs w:val="28"/>
        </w:rPr>
        <w:t>林业科</w:t>
      </w:r>
      <w:r w:rsidRPr="0052228C">
        <w:rPr>
          <w:rFonts w:asciiTheme="minorEastAsia" w:hAnsiTheme="minorEastAsia" w:cs="宋体" w:hint="eastAsia"/>
          <w:bCs/>
          <w:kern w:val="0"/>
          <w:sz w:val="28"/>
          <w:szCs w:val="28"/>
        </w:rPr>
        <w:t>学</w:t>
      </w:r>
      <w:r w:rsidRPr="0052228C">
        <w:rPr>
          <w:rFonts w:asciiTheme="minorEastAsia" w:hAnsiTheme="minorEastAsia" w:cs="宋体"/>
          <w:bCs/>
          <w:kern w:val="0"/>
          <w:sz w:val="28"/>
          <w:szCs w:val="28"/>
        </w:rPr>
        <w:t>技</w:t>
      </w:r>
      <w:r w:rsidRPr="0052228C">
        <w:rPr>
          <w:rFonts w:asciiTheme="minorEastAsia" w:hAnsiTheme="minorEastAsia" w:cs="宋体" w:hint="eastAsia"/>
          <w:bCs/>
          <w:kern w:val="0"/>
          <w:sz w:val="28"/>
          <w:szCs w:val="28"/>
        </w:rPr>
        <w:t>术发展现状及</w:t>
      </w:r>
      <w:r w:rsidRPr="0052228C">
        <w:rPr>
          <w:rFonts w:asciiTheme="minorEastAsia" w:hAnsiTheme="minorEastAsia" w:cs="宋体"/>
          <w:bCs/>
          <w:kern w:val="0"/>
          <w:sz w:val="28"/>
          <w:szCs w:val="28"/>
        </w:rPr>
        <w:t>趋势</w:t>
      </w:r>
    </w:p>
    <w:p w:rsidR="0014122D" w:rsidRPr="0052228C" w:rsidRDefault="0014122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21世纪以来，为应对全球气候变化、生态恶化、能源资源安全、粮食安全、重大自然灾害和世界金融危机等一系列全球性问题的冲击和挑战，促进绿色经济发展、实现绿色转型已成为世界性的潮流和趋势。世界林业科技的发展，离不开世界林业发展的大背景，离不开不断出现的林业热点难点问题对林业科技发展的现实需求。</w:t>
      </w:r>
    </w:p>
    <w:p w:rsidR="0014122D" w:rsidRPr="0052228C" w:rsidRDefault="0014122D" w:rsidP="0052228C">
      <w:pPr>
        <w:widowControl/>
        <w:spacing w:line="390" w:lineRule="exact"/>
        <w:ind w:rightChars="310" w:right="651"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一、</w:t>
      </w:r>
      <w:r w:rsidRPr="0052228C">
        <w:rPr>
          <w:rFonts w:asciiTheme="minorEastAsia" w:hAnsiTheme="minorEastAsia" w:cs="宋体"/>
          <w:kern w:val="0"/>
          <w:sz w:val="24"/>
          <w:szCs w:val="24"/>
        </w:rPr>
        <w:t>世界林业科技发展现状</w:t>
      </w:r>
    </w:p>
    <w:p w:rsidR="0014122D" w:rsidRPr="0052228C" w:rsidRDefault="0014122D" w:rsidP="0052228C">
      <w:pPr>
        <w:widowControl/>
        <w:spacing w:line="390" w:lineRule="exact"/>
        <w:ind w:rightChars="67" w:right="14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从全球范围来看，林业科学技术呈现出加速发展趋势。进入21世纪以来，随着经济全球化进程的加快，新的林业科技革命正在全球兴起，在信息技术、生物技术、新材料技术、航天育种技术等高新技术领域有了新突破，对森林资源管理、林木育种、林产工业、湿地保护、灾害控制及资源利用的方式和成效等，产生了重大影响。多学科交叉融合、新理论相互渗透、多区域乃至全球科技合作等不断涌现，科技对未来林业发展的支撑引领作用日趋显著。</w:t>
      </w:r>
    </w:p>
    <w:p w:rsidR="0014122D" w:rsidRPr="0052228C" w:rsidRDefault="0014122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世界各国非常关注并共同推动森林在全球气候变化、生物多样性保护、改造退化土地、治理荒漠化土地、调控水资源和防止自然地理灾害等方面发挥作用的功能、机理和作用研究。集约育林的研究与实践已成为森林培育学的前沿与核心领域，包括次</w:t>
      </w:r>
      <w:r w:rsidRPr="0052228C">
        <w:rPr>
          <w:rFonts w:asciiTheme="minorEastAsia" w:hAnsiTheme="minorEastAsia" w:cs="宋体"/>
          <w:kern w:val="0"/>
          <w:sz w:val="24"/>
          <w:szCs w:val="24"/>
        </w:rPr>
        <w:lastRenderedPageBreak/>
        <w:t>生林、灌丛林、疏林等在内的退化天然林生态系统的恢复与重建问题，日益受到各国政府和研究人员的重视。随着植物生物技术的快速发展，通过遗传工程改良树木的抗逆性状和经济性状、生物固碳和菌根技术的研究应用、应用基因重组技术生产生物杀虫剂和木素降解酶、利用林业剩余物生产饲料蛋白等林业生物工程研究，呈现出勃勃生机，取得积极进展。世界林业发达国家积极开发新原料、新品种和扩大木基复合材料的应用范围。森林火险预警预报、森林火灾损失评估、森林防火标准的制定以及扑火器械设备的研制开发，已经成为世界森林火灾防治的重点研究领域和发展方向。将现代信息技术应用于森林资源的动态监测、评价和决策管理，并且通过国际互联网实现全球化共享和服务，数字林业得到了长足发展。多功能林业、碳汇林业、虚拟林业等现代林业理论与发展模式不断创新，森林生态服务、环境价值核算、林产品绿色贸易、森林生态文化和林业生态经济等软科学研究及宏观决策支持领域取得重要进展</w:t>
      </w:r>
      <w:r w:rsidRPr="0052228C">
        <w:rPr>
          <w:rFonts w:asciiTheme="minorEastAsia" w:hAnsiTheme="minorEastAsia" w:cs="宋体" w:hint="eastAsia"/>
          <w:kern w:val="0"/>
          <w:sz w:val="24"/>
          <w:szCs w:val="24"/>
        </w:rPr>
        <w:t>。</w:t>
      </w:r>
    </w:p>
    <w:p w:rsidR="0014122D" w:rsidRPr="0052228C" w:rsidRDefault="0014122D" w:rsidP="0052228C">
      <w:pPr>
        <w:widowControl/>
        <w:tabs>
          <w:tab w:val="center" w:pos="4337"/>
        </w:tabs>
        <w:spacing w:line="390" w:lineRule="exact"/>
        <w:ind w:rightChars="310" w:right="651"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二、</w:t>
      </w:r>
      <w:r w:rsidRPr="0052228C">
        <w:rPr>
          <w:rFonts w:asciiTheme="minorEastAsia" w:hAnsiTheme="minorEastAsia" w:cs="宋体"/>
          <w:kern w:val="0"/>
          <w:sz w:val="24"/>
          <w:szCs w:val="24"/>
        </w:rPr>
        <w:t xml:space="preserve"> 世界林业科技发展趋势</w:t>
      </w:r>
      <w:r w:rsidRPr="0052228C">
        <w:rPr>
          <w:rFonts w:asciiTheme="minorEastAsia" w:hAnsiTheme="minorEastAsia" w:cs="宋体"/>
          <w:kern w:val="0"/>
          <w:sz w:val="24"/>
          <w:szCs w:val="24"/>
        </w:rPr>
        <w:tab/>
      </w:r>
    </w:p>
    <w:p w:rsidR="0014122D" w:rsidRPr="0052228C" w:rsidRDefault="0014122D" w:rsidP="0052228C">
      <w:pPr>
        <w:widowControl/>
        <w:tabs>
          <w:tab w:val="left" w:pos="7695"/>
          <w:tab w:val="left" w:pos="8079"/>
        </w:tabs>
        <w:spacing w:line="390" w:lineRule="exact"/>
        <w:ind w:right="-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21世纪的世界林业，在绿色发展和林业可持续发展的大背景下，仍将继续面对和着力解决四个方面的问题：一是森林资源培育；二是生态环境保护；三是森林资源的高效利用；四是森林与人类和谐发展。在新科技革命浪潮席卷全球的大背景下，科学技术对林业发展将发挥更加重要的支撑和引领作用，世界林业科技发展也围绕这四大主题呈现出新的发展态势。归纳起来，世界林业科技发展主要有以下几大趋势。</w:t>
      </w:r>
    </w:p>
    <w:p w:rsidR="0014122D" w:rsidRPr="0052228C" w:rsidRDefault="0014122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一是林业应对气候变化及低碳林业成为世界林业科学研究的新热点。林业是绿色循环经济的重要组成部分，在低碳减排、清洁低耗生产、争取国际话语权等方面，具有重要作用。绿色催化、生物反应器合成、循环综合高效利用等技术的快速发展，极大地改变了林业的生产方式，推进了林业产业的生态化。大力发展碳汇林业，增加森林碳汇，减少毁林排放，得到国际社会的广泛认同，已成为气候变化谈判的核心议题。低碳发展的理念也正在促使人们重新思考和检验传统的林业概念</w:t>
      </w:r>
      <w:r w:rsidRPr="0052228C">
        <w:rPr>
          <w:rFonts w:asciiTheme="minorEastAsia" w:hAnsiTheme="minorEastAsia" w:cs="宋体" w:hint="eastAsia"/>
          <w:kern w:val="0"/>
          <w:sz w:val="24"/>
          <w:szCs w:val="24"/>
        </w:rPr>
        <w:t>。</w:t>
      </w:r>
    </w:p>
    <w:p w:rsidR="0014122D" w:rsidRPr="0052228C" w:rsidRDefault="0014122D" w:rsidP="0052228C">
      <w:pPr>
        <w:widowControl/>
        <w:tabs>
          <w:tab w:val="left" w:pos="8079"/>
        </w:tabs>
        <w:spacing w:line="390" w:lineRule="exact"/>
        <w:ind w:right="-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二是森林多目标经营和多功能林业发展的理论与技术将成为森林经营研究的主流。森林可持续经营是当今世界林业的主要发展方向。建立多功能林业技术体系，已经成为世界主要林业国家提高森林经营水平和效益的重要手段。森林经营转向以建立健康、稳定、高效的森林生态系统为目标，景观管理、森林功能区划、多功能经营规划、异龄混交林经营、森林生长模拟和优化决策及工具研发等核心技术持续深入，适应性经营监测和评价技术得到加强，森林健康和生物多样性保护得到持续关注。</w:t>
      </w:r>
    </w:p>
    <w:p w:rsidR="0014122D" w:rsidRPr="0052228C" w:rsidRDefault="0014122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三是林业产业化研究的内涵和绿色制造技术的应用不断扩大。由于森林在解决环境问题中的突出地位，林业发展已从以木材生产为中心转向森林资源多功能利用，今后除加强木质林产品的精深加工和高效与节约利用、木质替代产品、林产化工的研究外，非木质林产品开发与利用研究将得到加强，林产工业的内涵不断扩大，如森林游憩资源的可持续开发与利用，森林生态系统野生动植物的保护、繁殖与利用研究，森林生态系统食品资源的开发与利用，生物医药和文化创意产品等新兴产业，将蓬勃兴起。</w:t>
      </w:r>
    </w:p>
    <w:p w:rsidR="0014122D" w:rsidRPr="0052228C" w:rsidRDefault="0014122D" w:rsidP="0052228C">
      <w:pPr>
        <w:widowControl/>
        <w:spacing w:line="390" w:lineRule="exact"/>
        <w:ind w:rightChars="41" w:right="86"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lastRenderedPageBreak/>
        <w:t>四是人工林的生态系统管理成为世界林业科学研究的重要内容。由于世界人口增长、可更新自然资源贫乏和天然林保护的需要，人工林仍是解决森林资源不足问题的关键，人工用材林的培育仍将受到世界各国的关注。针对人工林经营过程中出现的生态系统稳定性和服务功能差、生物多样性降低、地力衰退、水源涵养能力弱、易受森林火灾和病虫害威胁等一系列生态问题，新一代人工林更注重可持续经营，维护和提高人工林的生态系统完整性，最大限度发挥人工林的多重功能和多重效益。</w:t>
      </w:r>
    </w:p>
    <w:p w:rsidR="0014122D" w:rsidRPr="0052228C" w:rsidRDefault="0014122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五是退化生态系统和森林生态环境的修复与改善成为林业科学研究的迫切任务。世界范围内生态环境的恶化，对社会经济的发展已构成严重压力，威胁到人类的生存。因此，环境治理已成为世界性的紧迫任务。应对环境治理的迫切需要，退化生态系统的恢复与重建成为亟待解决的问题。在此基础上，生态系统修复及稳定性维护等核心技术将不断创新，林业应对气候变化技术得到进一步加强，区域安全生态屏障构建技术持续进步，集生物技术与工程技术为一体的生态修复体系不断融合、发展、完善。</w:t>
      </w:r>
    </w:p>
    <w:p w:rsidR="0014122D" w:rsidRPr="0052228C" w:rsidRDefault="0014122D" w:rsidP="0052228C">
      <w:pPr>
        <w:widowControl/>
        <w:spacing w:line="390" w:lineRule="exact"/>
        <w:ind w:right="-1"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六是生物技术和信息技术成为促进林业科技进步的重要手段。以功能基因组学为核心的林木分子育种、基因解析及基因芯片等技术，已经成为林木新品种创制的重要手段，发展林业生物资源高效培育和资源节约型、环境友好型林产品加工利用技术，将成为世界各国抢占21世纪国际经济技术竞争的制高点。遥感、全球定位、数字模拟等信息化技术，在林业资源管理、生态监测、灾害防控等领域发挥了日益重要的作用，开发具有林业特色的天地一体化林业空间信息采集、加工、分发、表达和决策支持系统，已成为世界林业发展的必然趋势。</w:t>
      </w:r>
    </w:p>
    <w:p w:rsidR="0014122D" w:rsidRPr="0052228C" w:rsidRDefault="0014122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七是绿色发展理论推动林业经济管理理论的新发展。2011年2月，联合国环境规划署（UNEP）发布《迈向绿色经济——通向可持续发展和消除贫困之路》，将林业作为全球绿色经济发展10个至关重要的部门之一。在绿色发展的理论框架下，林业经济管理学科将取得新突破与发展，如森林和林业社会地位和作用的重新定位，现代林业的理论与实践，包含森林生态系统服务在内的绿色GDP核算和森林资源经济学的发展，林产品的绿色贸易，以森林与人类和谐发展为主题的森林文化、森林与健康、森林美学、森林福利、生态文明、城市林业的发展，森林经营目标的新拓展、林业宏观决策的支持以及林业政策的调整与发展等。</w:t>
      </w:r>
    </w:p>
    <w:p w:rsidR="0014122D" w:rsidRPr="0052228C" w:rsidRDefault="0014122D" w:rsidP="0052228C">
      <w:pPr>
        <w:widowControl/>
        <w:spacing w:line="390" w:lineRule="exact"/>
        <w:ind w:rightChars="310" w:right="651"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三、</w:t>
      </w:r>
      <w:r w:rsidRPr="0052228C">
        <w:rPr>
          <w:rFonts w:asciiTheme="minorEastAsia" w:hAnsiTheme="minorEastAsia" w:cs="宋体"/>
          <w:kern w:val="0"/>
          <w:sz w:val="24"/>
          <w:szCs w:val="24"/>
        </w:rPr>
        <w:t>对我国林业科技发展的思考</w:t>
      </w:r>
    </w:p>
    <w:p w:rsidR="0014122D" w:rsidRPr="0052228C" w:rsidRDefault="0014122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当前，林业发展对科技创新需求更加迫切、依赖更加强烈。我国林业科技发展需要围绕世界林业科技发展新趋势，围绕“一带一路”倡议以及京津冀协同发展、长江经济带建设等国家战略，促进林业生态建设、产业发展和兴林富民重大需求，深入实施创新驱动发展战略，前瞻布局基础前沿及战略研究，重点攻克林业发展关键技术，全面加强创新能力建设，使我国林业科技整体实力和水平得到明显提升，更好地支撑生态建设、引领产业升级、服务社会民生。</w:t>
      </w:r>
    </w:p>
    <w:p w:rsidR="0014122D" w:rsidRPr="0052228C" w:rsidRDefault="0014122D" w:rsidP="0052228C">
      <w:pPr>
        <w:spacing w:beforeLines="50" w:afterLines="50" w:line="390" w:lineRule="exact"/>
        <w:jc w:val="center"/>
        <w:rPr>
          <w:rFonts w:asciiTheme="minorEastAsia" w:hAnsiTheme="minorEastAsia" w:cs="宋体"/>
          <w:bCs/>
          <w:kern w:val="0"/>
          <w:sz w:val="28"/>
          <w:szCs w:val="28"/>
        </w:rPr>
      </w:pPr>
    </w:p>
    <w:p w:rsidR="0014122D" w:rsidRPr="0052228C" w:rsidRDefault="0014122D" w:rsidP="0052228C">
      <w:pPr>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bCs/>
          <w:kern w:val="0"/>
          <w:sz w:val="28"/>
          <w:szCs w:val="28"/>
        </w:rPr>
        <w:lastRenderedPageBreak/>
        <w:t>国家林草局六项措施激励科创人才</w:t>
      </w:r>
    </w:p>
    <w:p w:rsidR="0014122D" w:rsidRPr="0052228C" w:rsidRDefault="0014122D" w:rsidP="0052228C">
      <w:pPr>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4月17日，国家林业和草原局党组印发《中共国家林业和草原局党组关于激励科技创新人才的若干措施》，从六方面提出措施推动林业和草原科技创新人才队伍建设和科技创新工作</w:t>
      </w:r>
      <w:r w:rsidRPr="0052228C">
        <w:rPr>
          <w:rFonts w:asciiTheme="minorEastAsia" w:hAnsiTheme="minorEastAsia" w:cs="宋体" w:hint="eastAsia"/>
          <w:kern w:val="0"/>
          <w:sz w:val="24"/>
          <w:szCs w:val="24"/>
        </w:rPr>
        <w:t>。</w:t>
      </w:r>
    </w:p>
    <w:p w:rsidR="0014122D" w:rsidRPr="0052228C" w:rsidRDefault="0014122D" w:rsidP="0052228C">
      <w:pPr>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一是定向激励高端创新人才，包括统筹增量向创新效能高的单位倾斜，强化高层次创新人才梯队的绩效激励和技术岗位聘任，加大对领衔创新任务科研人员的激励力度，用好地方激励政策，争取人才专项资金。二是用好科技成果转化政策激励人才，切实落实成果转化政策，明确成果转化激励导向，鼓励采取多种转化模式。三是重奖业绩突出的创新人才，重奖国家科技奖获奖人才，奖励突出贡献创新人才，给予局杰出青年人才研发激励。四是充分激励主体业务实践中的创新人才，引导优秀人才领衔业务难题，激励业务工程中的科技创新。五是激活研发单位创新内生动力，深化研发单位内部改革，加强创新人才梯队建设，科研人员因公临时出国计划单列，加大国外专家来华学术交流合作力度，建立科技创新督导与监督机制。六是加强对创新人才的情感关怀，强化对创新人才的宣传激励，强化对创新人才的宣传激励。</w:t>
      </w:r>
    </w:p>
    <w:p w:rsidR="000520C3" w:rsidRPr="0052228C" w:rsidRDefault="00196E3F" w:rsidP="0052228C">
      <w:pPr>
        <w:widowControl/>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bCs/>
          <w:kern w:val="0"/>
          <w:sz w:val="28"/>
          <w:szCs w:val="28"/>
        </w:rPr>
        <w:t>中国林科院赋予科研人员更大自主权</w:t>
      </w:r>
    </w:p>
    <w:p w:rsidR="00196E3F" w:rsidRPr="0052228C" w:rsidRDefault="00196E3F" w:rsidP="0052228C">
      <w:pPr>
        <w:widowControl/>
        <w:spacing w:line="390" w:lineRule="exact"/>
        <w:ind w:rightChars="40" w:right="84"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中国林业科学研究院日前制定6项举措，赋予单位和人员更大自主权，激发科研人员创新创造活力。</w:t>
      </w:r>
    </w:p>
    <w:p w:rsidR="00196E3F" w:rsidRPr="0052228C" w:rsidRDefault="00196E3F"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一是优化科研管理，建立与发展目标相适应的评价制度和方法，强化主体责任和过程管理的同时，赋予科研人员更多自主权、决策权。二是优化科研经费管理，推行一站式服务，简化预算编制、报销审批以及结题审计等流程，让科研人员少跑腿。三是改革人才成长和定向激励机制，拓宽青年人才成长空间，合理引进急需紧缺的创新人才，构建高层次创新人才梯队，科学设立人才评价指标，规范科研人员兼职管理，加强对创新人才的情感关怀。四是推进科技成果转化，健全科技成果转化服务机构，简化科技成果国有资产评估，明确成果转化激励导向，鼓励采取多种转化模式。五是加强科研诚信建设，完善科研诚信管理工作机制和责任体系，加强科研活动全流程诚信管理，推进科研诚信制度化建设。六是加强政策落实与制度建设，健全信息公开制度，加强任务督导</w:t>
      </w:r>
      <w:r w:rsidRPr="0052228C">
        <w:rPr>
          <w:rFonts w:asciiTheme="minorEastAsia" w:hAnsiTheme="minorEastAsia" w:cs="宋体" w:hint="eastAsia"/>
          <w:kern w:val="0"/>
          <w:sz w:val="24"/>
          <w:szCs w:val="24"/>
        </w:rPr>
        <w:t>。</w:t>
      </w:r>
    </w:p>
    <w:p w:rsidR="007A73AB" w:rsidRPr="0052228C" w:rsidRDefault="003D66E7" w:rsidP="0052228C">
      <w:pPr>
        <w:spacing w:beforeLines="50" w:afterLines="50" w:line="280" w:lineRule="exact"/>
        <w:jc w:val="center"/>
        <w:rPr>
          <w:rFonts w:asciiTheme="minorEastAsia" w:hAnsiTheme="minorEastAsia" w:cs="宋体"/>
          <w:bCs/>
          <w:kern w:val="0"/>
          <w:sz w:val="28"/>
          <w:szCs w:val="28"/>
        </w:rPr>
      </w:pPr>
      <w:r w:rsidRPr="0052228C">
        <w:rPr>
          <w:rFonts w:asciiTheme="minorEastAsia" w:hAnsiTheme="minorEastAsia" w:cs="宋体" w:hint="eastAsia"/>
          <w:bCs/>
          <w:kern w:val="0"/>
          <w:sz w:val="28"/>
          <w:szCs w:val="28"/>
        </w:rPr>
        <w:t>北林大</w:t>
      </w:r>
      <w:r w:rsidR="007A73AB" w:rsidRPr="0052228C">
        <w:rPr>
          <w:rFonts w:asciiTheme="minorEastAsia" w:hAnsiTheme="minorEastAsia" w:cs="宋体"/>
          <w:bCs/>
          <w:kern w:val="0"/>
          <w:sz w:val="28"/>
          <w:szCs w:val="28"/>
        </w:rPr>
        <w:t>林木良种育苗技术实验实现虚拟仿真</w:t>
      </w:r>
    </w:p>
    <w:p w:rsidR="007A73AB" w:rsidRPr="0052228C" w:rsidRDefault="007A73AB"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北京林业大学教授王君主持的“林木良种多圃配套育苗技术虚拟仿真实验”项目日前获批为国家虚拟仿真实验教学项目之一。</w:t>
      </w:r>
    </w:p>
    <w:p w:rsidR="007A73AB" w:rsidRPr="0052228C" w:rsidRDefault="007A73AB" w:rsidP="0052228C">
      <w:pPr>
        <w:widowControl/>
        <w:spacing w:line="390" w:lineRule="exact"/>
        <w:ind w:rightChars="26" w:right="55"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虚拟仿真实验教学主要依托虚拟现实、多媒体、人机交互、数据库和网络通信等技术，构建高度仿真的虚拟实验环境和实验对象，以实现在现实实验中不具备或难以完成的教学功能。学生在虚拟环境中进行实验，可达到所要求的认知与实践教学效果。</w:t>
      </w:r>
    </w:p>
    <w:p w:rsidR="007A73AB" w:rsidRPr="0052228C" w:rsidRDefault="007A73AB" w:rsidP="0052228C">
      <w:pPr>
        <w:widowControl/>
        <w:spacing w:line="390" w:lineRule="exact"/>
        <w:ind w:rightChars="26" w:right="55"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lastRenderedPageBreak/>
        <w:t>“林木良种多圃配套育苗技术虚拟仿真实验”是林木遗传育种学课程的主要实训环节之一。针对林木良种优质苗木生产实践耗时长、操作难度大等问题，该项目综合运用虚拟现实、3D建模和数据库等现代信息技术，将中国工程院院士朱之悌的科研成果“毛白杨多圃配套系列育苗技术”进行教学转化，再现了毛白杨多圃配套育苗的真实场景，还原了采穗圃、砧木圃、繁殖圃、根繁圃和组培生产线的操作全过程。</w:t>
      </w:r>
    </w:p>
    <w:p w:rsidR="007A73AB" w:rsidRPr="0052228C" w:rsidRDefault="007A73AB"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这个项目不仅为北林大教学服务，还将面向相关高校和社会开放服务，以提高各校大学生林木种业创新实践能力，为定点企业提供岗前培训及考核服务等</w:t>
      </w:r>
      <w:r w:rsidRPr="0052228C">
        <w:rPr>
          <w:rFonts w:asciiTheme="minorEastAsia" w:hAnsiTheme="minorEastAsia" w:cs="宋体" w:hint="eastAsia"/>
          <w:kern w:val="0"/>
          <w:sz w:val="24"/>
          <w:szCs w:val="24"/>
        </w:rPr>
        <w:t>。</w:t>
      </w:r>
    </w:p>
    <w:p w:rsidR="0079740D" w:rsidRPr="0052228C" w:rsidRDefault="00B5330A" w:rsidP="0052228C">
      <w:pPr>
        <w:widowControl/>
        <w:spacing w:line="390" w:lineRule="exact"/>
        <w:ind w:firstLineChars="200" w:firstLine="420"/>
        <w:rPr>
          <w:rFonts w:asciiTheme="minorEastAsia" w:hAnsiTheme="minorEastAsia" w:cs="宋体"/>
          <w:kern w:val="0"/>
          <w:sz w:val="24"/>
          <w:szCs w:val="24"/>
        </w:rPr>
      </w:pPr>
      <w:r w:rsidRPr="0052228C">
        <w:rPr>
          <w:rFonts w:asciiTheme="minorEastAsia" w:hAnsiTheme="minorEastAsia"/>
          <w:noProof/>
        </w:rPr>
        <w:pict>
          <v:shape id="_x0000_s2085" type="#_x0000_t98" style="position:absolute;left:0;text-align:left;margin-left:-1.2pt;margin-top:11.9pt;width:81.75pt;height:42.75pt;z-index:251676672">
            <v:textbox style="mso-next-textbox:#_x0000_s2085">
              <w:txbxContent>
                <w:p w:rsidR="003948E4" w:rsidRPr="003C3835" w:rsidRDefault="003948E4" w:rsidP="0082296C">
                  <w:pPr>
                    <w:rPr>
                      <w:b/>
                      <w:color w:val="984806" w:themeColor="accent6" w:themeShade="80"/>
                      <w:sz w:val="28"/>
                      <w:szCs w:val="28"/>
                    </w:rPr>
                  </w:pPr>
                  <w:r w:rsidRPr="003C3835">
                    <w:rPr>
                      <w:rFonts w:hint="eastAsia"/>
                      <w:b/>
                      <w:color w:val="984806" w:themeColor="accent6" w:themeShade="80"/>
                      <w:sz w:val="28"/>
                      <w:szCs w:val="28"/>
                    </w:rPr>
                    <w:t>智慧林业</w:t>
                  </w:r>
                </w:p>
              </w:txbxContent>
            </v:textbox>
          </v:shape>
        </w:pict>
      </w:r>
    </w:p>
    <w:p w:rsidR="00CE7A37" w:rsidRPr="0052228C" w:rsidRDefault="00CE7A37" w:rsidP="0052228C">
      <w:pPr>
        <w:widowControl/>
        <w:spacing w:line="390" w:lineRule="exact"/>
        <w:ind w:firstLineChars="200" w:firstLine="480"/>
        <w:rPr>
          <w:rFonts w:asciiTheme="minorEastAsia" w:hAnsiTheme="minorEastAsia" w:cs="宋体"/>
          <w:kern w:val="0"/>
          <w:sz w:val="24"/>
          <w:szCs w:val="24"/>
        </w:rPr>
      </w:pPr>
    </w:p>
    <w:p w:rsidR="000520C3" w:rsidRPr="0052228C" w:rsidRDefault="000520C3" w:rsidP="0052228C">
      <w:pPr>
        <w:spacing w:line="390" w:lineRule="exact"/>
        <w:ind w:firstLineChars="200" w:firstLine="480"/>
        <w:rPr>
          <w:rFonts w:asciiTheme="minorEastAsia" w:hAnsiTheme="minorEastAsia" w:cs="宋体"/>
          <w:kern w:val="0"/>
          <w:sz w:val="24"/>
          <w:szCs w:val="24"/>
        </w:rPr>
      </w:pPr>
    </w:p>
    <w:p w:rsidR="00E655BE" w:rsidRPr="0052228C" w:rsidRDefault="00E655BE" w:rsidP="0052228C">
      <w:pPr>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bCs/>
          <w:kern w:val="0"/>
          <w:sz w:val="28"/>
          <w:szCs w:val="28"/>
        </w:rPr>
        <w:t>芬兰运用大数据支持可持续林业发展</w:t>
      </w:r>
    </w:p>
    <w:p w:rsidR="00E655BE" w:rsidRPr="0052228C" w:rsidRDefault="00E655BE"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最近，欧洲数据驱动型生物经济（</w:t>
      </w:r>
      <w:proofErr w:type="spellStart"/>
      <w:r w:rsidRPr="0052228C">
        <w:rPr>
          <w:rFonts w:asciiTheme="minorEastAsia" w:hAnsiTheme="minorEastAsia" w:cs="宋体"/>
          <w:kern w:val="0"/>
          <w:sz w:val="24"/>
          <w:szCs w:val="24"/>
        </w:rPr>
        <w:t>DataBio</w:t>
      </w:r>
      <w:proofErr w:type="spellEnd"/>
      <w:r w:rsidRPr="0052228C">
        <w:rPr>
          <w:rFonts w:asciiTheme="minorEastAsia" w:hAnsiTheme="minorEastAsia" w:cs="宋体"/>
          <w:kern w:val="0"/>
          <w:sz w:val="24"/>
          <w:szCs w:val="24"/>
        </w:rPr>
        <w:t>）项目在芬兰进行的试点研究取得新进展。在航空和卫星图像大数据技术和芬兰森林中心开放森林数据的基础上，芬兰VTT技术研究中心、芬兰森林中心和MHG系统有限公司开发了一套大数据系统，支持土地所有者和森林经营者使用智能手机收集森林数据，并使用配套应用程序将数据上传到芬兰森林中心的森林资源数据库。</w:t>
      </w:r>
    </w:p>
    <w:p w:rsidR="00E655BE" w:rsidRPr="0052228C" w:rsidRDefault="00E655BE"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该系统将信息实时传递给决策者和生产者，支持可持续林业补贴政策的实施。上述项目成果还可以运用和推广到其他国家。移动应用程序不仅能够服务于森林经营，还可用于监控风暴、雨雪和病虫害等对林业造成的影响。</w:t>
      </w:r>
    </w:p>
    <w:p w:rsidR="00E655BE" w:rsidRPr="0052228C" w:rsidRDefault="00E655BE"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当前，整个欧洲正在尽力寻找新的方式来更负责且更可持续地利用农业、林业和渔业资源，并促进原材料生产，提高食物、能源和生物材料的供应。欧洲数据驱动型生物经济项目旨在开发新型、可持续的林业、农业和渔业资源利用方式，使整个价值链中的数据收集和共享更加便捷，提高自然资源利用效率，提高大数据对农林经营活动的贡献。</w:t>
      </w:r>
    </w:p>
    <w:p w:rsidR="00E655BE" w:rsidRPr="0052228C" w:rsidRDefault="00E655BE"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该项目由欧盟“地平线2020计划”资助，现已在17个国家启动了26个试点研究，支持开发用于分析和改进信息流的通用软件工具，试点结果和解决方案有望创造新的商机，并增加大数据在初级生物经济产业中的运用</w:t>
      </w:r>
      <w:r w:rsidRPr="0052228C">
        <w:rPr>
          <w:rFonts w:asciiTheme="minorEastAsia" w:hAnsiTheme="minorEastAsia" w:cs="宋体" w:hint="eastAsia"/>
          <w:kern w:val="0"/>
          <w:sz w:val="24"/>
          <w:szCs w:val="24"/>
        </w:rPr>
        <w:t>。</w:t>
      </w:r>
    </w:p>
    <w:p w:rsidR="000520C3" w:rsidRPr="0052228C" w:rsidRDefault="00B12863" w:rsidP="0052228C">
      <w:pPr>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hint="eastAsia"/>
          <w:bCs/>
          <w:kern w:val="0"/>
          <w:sz w:val="28"/>
          <w:szCs w:val="28"/>
        </w:rPr>
        <w:t>内蒙古</w:t>
      </w:r>
      <w:r w:rsidR="000520C3" w:rsidRPr="0052228C">
        <w:rPr>
          <w:rFonts w:asciiTheme="minorEastAsia" w:hAnsiTheme="minorEastAsia" w:cs="宋体"/>
          <w:bCs/>
          <w:kern w:val="0"/>
          <w:sz w:val="28"/>
          <w:szCs w:val="28"/>
        </w:rPr>
        <w:t>用大数据精准修复草原生态</w:t>
      </w:r>
    </w:p>
    <w:p w:rsidR="000520C3" w:rsidRPr="0052228C" w:rsidRDefault="000520C3"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内蒙古拥有13.2亿亩草原，约占全国草原面积的1/5。作为我国北方重要生态安全屏障，内蒙古生态状况如何，不仅关系全区各族群众生存和发展，而且关系华北、东北、西北乃至全国生态安全。近年来，在中央财政的支持下，内蒙古实施了中国规模最大的草原保护工程，截至今年3月，内蒙古草原平均植被盖度达44%，恢复到上世纪80年代中期水平。</w:t>
      </w:r>
    </w:p>
    <w:p w:rsidR="000520C3" w:rsidRPr="0052228C" w:rsidRDefault="000520C3"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lastRenderedPageBreak/>
        <w:t>虽然，我国草原生态已实现从全面退化到局部改善、再到总体向好的历史性转变，但草原生态恢复和保护建设仍任重道远。草原生态修复治理亟需新方法、新技术、新产品带来新突破。随着大数据技术在生态修复领域中的创新应用，草原生态大数据平台应运而生，为解决草原生态环境问题开辟了数字化、可视化、精准化的新路径。</w:t>
      </w:r>
    </w:p>
    <w:p w:rsidR="000520C3" w:rsidRPr="0052228C" w:rsidRDefault="000520C3"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草原生态大数据平台是应用大数据理念、技术和方法打造的，是草地资源、气象、土壤、牲畜、人口、微生物、遥感以及基础地理等多源数据的集合，并与草原生态修复、现代草业、畜牧业等多种业务需求并轨，统一构建形成的综合管理平台。该平台是一个具有科学指导性的服务型平台，更多应用于草原生态修复上，在草-草原-草产业领域服务于社会和农牧民。</w:t>
      </w:r>
    </w:p>
    <w:p w:rsidR="00E06C16" w:rsidRPr="0052228C" w:rsidRDefault="00E06C16"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hint="eastAsia"/>
          <w:kern w:val="0"/>
          <w:sz w:val="24"/>
          <w:szCs w:val="24"/>
        </w:rPr>
        <w:t>蒙</w:t>
      </w:r>
      <w:r w:rsidRPr="0052228C">
        <w:rPr>
          <w:rFonts w:asciiTheme="minorEastAsia" w:hAnsiTheme="minorEastAsia" w:cs="宋体"/>
          <w:kern w:val="0"/>
          <w:sz w:val="24"/>
          <w:szCs w:val="24"/>
        </w:rPr>
        <w:t>草生态于2014年开始建设草原生态大数据平台，平台包括“一张图”管理系统、数据分析系统、应用开发系统、数据运维系统。平台通过整合草原生态基础及技术数据，集成不同区域生态修复、草牧业技术与标准，应用“互联网+”实现生态数据、植物种质资源、生态修复、草牧业生产技术等信息要素互通，具备基础生态数据综合查询、植物图册收集、草原生态修复等功能。</w:t>
      </w:r>
    </w:p>
    <w:p w:rsidR="00E06C16" w:rsidRPr="0052228C" w:rsidRDefault="00E06C16"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内蒙古草原退化过程是极其复杂的，其成因伴随着诸多的自然因素、社会经济因素的相互作用，以及土壤性质的改变。自然状态下，水、土、植被等各生态要素相互依存、相互制约、平衡发展，形成一种良性的生态体系，在时空上具有鲜明的稳定性和持久性特点。</w:t>
      </w:r>
    </w:p>
    <w:p w:rsidR="00E06C16" w:rsidRPr="0052228C" w:rsidRDefault="00E06C16"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目前，无法用一个指标来表征复杂的退化过程。而业内共性的认识是草原资源不合理利用与草原退化关系密切。蒙草生态科研人员通过遥感技术建立几个时期的草原生态现状图，结合气象、土壤、水资源、植物生理生态特征等相关数据，利用历史文献、有统计资料并结合实地考察规范分析和实证分析相结合、定量和定性分析相结合，运用大数据研究几个特征时期的生态状况及生态变化过程，从资源利用和生态工程两方面说明生态修复的对策，为生态修复、牧草适宜性、混播比例、种植方案等制定符合当地实际、相对精准的技术方案。当用户在计算机上任选一个坐标点，平台数据库就会提供适合该处草原生长的草种及该区域最科学的生态修复方法。</w:t>
      </w:r>
    </w:p>
    <w:p w:rsidR="000520C3" w:rsidRPr="0052228C" w:rsidRDefault="000520C3" w:rsidP="0052228C">
      <w:pPr>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为适应草原生态环境保护和建设的需要，准确分析和掌握草原生态系统的基本信息，同时为指导草原生态修复及草原畜牧业的健康发展提供有效的管理措施和相关技术，多年来，蒙草生态的科研团队开始对内蒙古可修复的退化草原，用遥感和地面结合的办法进行摸底调查，整合数十年来影响生态环境的“水土气、人草畜、植动微”等核心指标数据及诸多生态学、草业科学的科研成果，自主研发出具有软件著作权、面向专业应用的大型GIS基础平台，开展草原生态产业大数据的信息收储、调查研究、实验示范等工作，挖掘生态修复规律，储备生态修复大数据，并广泛应用到草原生态修复中去。</w:t>
      </w:r>
    </w:p>
    <w:p w:rsidR="000520C3" w:rsidRPr="0052228C" w:rsidRDefault="000520C3" w:rsidP="0052228C">
      <w:pPr>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位于内蒙古呼和浩特市东北部的呼和塔拉草原，总面积16000余亩，曾经是水草丰美的天然牧场，由于自然和人为影响，生态遭到破坏，变成了砂石遍地的荒滩，处</w:t>
      </w:r>
      <w:r w:rsidRPr="0052228C">
        <w:rPr>
          <w:rFonts w:asciiTheme="minorEastAsia" w:hAnsiTheme="minorEastAsia" w:cs="宋体"/>
          <w:kern w:val="0"/>
          <w:sz w:val="24"/>
          <w:szCs w:val="24"/>
        </w:rPr>
        <w:lastRenderedPageBreak/>
        <w:t>于生物多样性极低状态。2012年，蒙草生态开始修复这片草原，尊重自然规律、模拟天然草原，结合天然草地改良与人工草地建植技术，进行人工干预下的自然修复。首先从生态大数据平台中调取该地区的生态数据资料，并追溯20-50年前这里生长过的原生植物，分析搭配群落、探寻生态演变的规律，再选择配比适合该地区生长的乡土植物，进行科学的建植和管理，从2000亩的试验推广到20000亩的系统修复。经过3年的时间，这里成为一片百花盛开的天然草地。修复后的呼和塔拉草原，植物从播种时的20余种恢复到50多种，干草产量、年固碳量、年释氧量等关键监测数据总体提高近12倍。实现自愈后的草原不只有植物群落，更有菌群、蝴蝶、蜜蜂、蚂蚁、蚯蚓、野兔等，形成水、土、气、人、草、畜、微生物的和谐发展。2017年，这里被选为内蒙古自治区成立70周年大庆的主会址。现在的呼和塔拉草原与北部大青山共同构筑起一道绿色屏障和风景线，堪称“山水林田湖草”样板生态区。</w:t>
      </w:r>
    </w:p>
    <w:p w:rsidR="000520C3" w:rsidRPr="0052228C" w:rsidRDefault="000520C3" w:rsidP="0052228C">
      <w:pPr>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随着草原生态信息化的发展及物联网在生态中的应用，草原生态大数据必将成为大数据应用的又一重点。草原生态大数据涉及生态修复、草牧业整个产业链过程数据，如育种、播种、施肥、收获、储运、草牧产品开发等各个环节，是跨行业和跨专业的数据分析和挖掘。目前，蒙草生态建成的草原生态大数据平台，覆盖内蒙古自治区全域118万平方公里，可追溯到近50年间水、土、气、草、畜的30多个维度的生态指标变化，作为本底数据积累，运用科学的数据储备和分析集成，对草原基础生态数据及各类草原资源进行科学管理，最大限度地平衡生产、生活与生态之间的关系，在为牧民生产、生活提供便利的同时，更好地保护草原生态</w:t>
      </w:r>
      <w:r w:rsidRPr="0052228C">
        <w:rPr>
          <w:rFonts w:asciiTheme="minorEastAsia" w:hAnsiTheme="minorEastAsia" w:cs="宋体" w:hint="eastAsia"/>
          <w:kern w:val="0"/>
          <w:sz w:val="24"/>
          <w:szCs w:val="24"/>
        </w:rPr>
        <w:t>。</w:t>
      </w:r>
    </w:p>
    <w:p w:rsidR="003270DD" w:rsidRPr="0052228C" w:rsidRDefault="003270DD" w:rsidP="0052228C">
      <w:pPr>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bCs/>
          <w:kern w:val="0"/>
          <w:sz w:val="28"/>
          <w:szCs w:val="28"/>
        </w:rPr>
        <w:t>木兰林管局</w:t>
      </w:r>
      <w:r w:rsidR="00B12863" w:rsidRPr="0052228C">
        <w:rPr>
          <w:rFonts w:asciiTheme="minorEastAsia" w:hAnsiTheme="minorEastAsia" w:cs="宋体" w:hint="eastAsia"/>
          <w:bCs/>
          <w:kern w:val="0"/>
          <w:sz w:val="28"/>
          <w:szCs w:val="28"/>
        </w:rPr>
        <w:t>用</w:t>
      </w:r>
      <w:r w:rsidRPr="0052228C">
        <w:rPr>
          <w:rFonts w:asciiTheme="minorEastAsia" w:hAnsiTheme="minorEastAsia" w:cs="宋体"/>
          <w:bCs/>
          <w:kern w:val="0"/>
          <w:sz w:val="28"/>
          <w:szCs w:val="28"/>
        </w:rPr>
        <w:t>智慧林业助力近自然育林</w:t>
      </w:r>
    </w:p>
    <w:p w:rsidR="00196E3F" w:rsidRPr="0052228C" w:rsidRDefault="00196E3F"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近自然育林，并非放手不管、任其自然生长。通过人为干预，加速森林发育进程，培育接近自然又优于自然的森林生态系统，需要科学的系统支撑。</w:t>
      </w:r>
    </w:p>
    <w:p w:rsidR="003270DD" w:rsidRPr="0052228C" w:rsidRDefault="003270DD"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在传统营林模式下，各种经营决策和数据处理基本依赖人工完成，庞大的信息处理工作耗时费力，加上缺少科学数据支撑和技术支持，造成经营决策和生产作业布局都不尽合理，甚至有些工作与森林经营实际之间出现偏差</w:t>
      </w:r>
      <w:r w:rsidRPr="0052228C">
        <w:rPr>
          <w:rFonts w:asciiTheme="minorEastAsia" w:hAnsiTheme="minorEastAsia" w:cs="宋体" w:hint="eastAsia"/>
          <w:kern w:val="0"/>
          <w:sz w:val="24"/>
          <w:szCs w:val="24"/>
        </w:rPr>
        <w:t>。</w:t>
      </w:r>
    </w:p>
    <w:p w:rsidR="003270DD" w:rsidRPr="0052228C" w:rsidRDefault="003270DD"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自2010年以来，河北省木兰围场国有林场管理局（木兰林管局）确定以资源培育为中心的森林经营规划，引进德国近自然森林经营理念，全面总结国内外新技术应用成果，将工作重点聚焦到了改变传统森林经营模式、推进科学营林上来，将森林经营工作逐步导入计算机管理系统。</w:t>
      </w:r>
    </w:p>
    <w:p w:rsidR="003270DD" w:rsidRPr="0052228C" w:rsidRDefault="003270DD"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hint="eastAsia"/>
          <w:kern w:val="0"/>
          <w:sz w:val="24"/>
          <w:szCs w:val="24"/>
        </w:rPr>
        <w:t>一、</w:t>
      </w:r>
      <w:r w:rsidRPr="0052228C">
        <w:rPr>
          <w:rFonts w:asciiTheme="minorEastAsia" w:hAnsiTheme="minorEastAsia" w:cs="宋体"/>
          <w:kern w:val="0"/>
          <w:sz w:val="24"/>
          <w:szCs w:val="24"/>
        </w:rPr>
        <w:t>打牢数据基础</w:t>
      </w:r>
    </w:p>
    <w:p w:rsidR="003270DD" w:rsidRPr="0052228C" w:rsidRDefault="003270DD"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kern w:val="0"/>
          <w:sz w:val="24"/>
          <w:szCs w:val="24"/>
        </w:rPr>
        <w:t>原国家林业局场圃总站、中国林科院科信所、原河北省林业厅、德国弗莱堡大学等部门，在木兰林管局资源基础较好的林区设立“中国北方森林经营实验示范区”。2014年，按照资源调查和方案编制的相关要求，《木兰林管局森林经营方案编制指南》出台。《指南》主要包括森林经营方案编制流程、技术路线措施和森林资源调查设计细则3个方面。</w:t>
      </w:r>
    </w:p>
    <w:p w:rsidR="003270DD" w:rsidRPr="0052228C" w:rsidRDefault="003270D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lastRenderedPageBreak/>
        <w:t>为保证数据准确性，木兰林管局对各林场200余名技术人员进行了全面系统的理论培训，全面普及应用</w:t>
      </w:r>
      <w:proofErr w:type="spellStart"/>
      <w:r w:rsidRPr="0052228C">
        <w:rPr>
          <w:rFonts w:asciiTheme="minorEastAsia" w:hAnsiTheme="minorEastAsia" w:cs="宋体"/>
          <w:kern w:val="0"/>
          <w:sz w:val="24"/>
          <w:szCs w:val="24"/>
        </w:rPr>
        <w:t>ArcGIS</w:t>
      </w:r>
      <w:proofErr w:type="spellEnd"/>
      <w:r w:rsidRPr="0052228C">
        <w:rPr>
          <w:rFonts w:asciiTheme="minorEastAsia" w:hAnsiTheme="minorEastAsia" w:cs="宋体"/>
          <w:kern w:val="0"/>
          <w:sz w:val="24"/>
          <w:szCs w:val="24"/>
        </w:rPr>
        <w:t>地形图软件应用，并开展现地实践和实战考核。技术人员逐棵诊断、全林挂号、每木检尺，既保障了新理念、技术的落地，又保证了调查数据的精度，为编制森林经营方案打下了坚实的数据基础。2017年下半年，木兰林管局《森林经营方案（2015-2024）》通过了专家论证，得到上级批复，从理念到技术、从技术到管理，森林质量精准提升的“木兰模式”初步确立，为近自然育林与智慧林业的有效对接、融合提供了基础和前提。</w:t>
      </w:r>
    </w:p>
    <w:p w:rsidR="003270DD" w:rsidRPr="0052228C" w:rsidRDefault="003270D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二、</w:t>
      </w:r>
      <w:r w:rsidRPr="0052228C">
        <w:rPr>
          <w:rFonts w:asciiTheme="minorEastAsia" w:hAnsiTheme="minorEastAsia" w:cs="宋体"/>
          <w:kern w:val="0"/>
          <w:sz w:val="24"/>
          <w:szCs w:val="24"/>
        </w:rPr>
        <w:t>实现软件本土化</w:t>
      </w:r>
    </w:p>
    <w:p w:rsidR="003270DD" w:rsidRPr="0052228C" w:rsidRDefault="003270D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木兰林管局引进了德国最先进的</w:t>
      </w:r>
      <w:proofErr w:type="spellStart"/>
      <w:r w:rsidRPr="0052228C">
        <w:rPr>
          <w:rFonts w:asciiTheme="minorEastAsia" w:hAnsiTheme="minorEastAsia" w:cs="宋体"/>
          <w:kern w:val="0"/>
          <w:sz w:val="24"/>
          <w:szCs w:val="24"/>
        </w:rPr>
        <w:t>Proforst</w:t>
      </w:r>
      <w:proofErr w:type="spellEnd"/>
      <w:r w:rsidRPr="0052228C">
        <w:rPr>
          <w:rFonts w:asciiTheme="minorEastAsia" w:hAnsiTheme="minorEastAsia" w:cs="宋体"/>
          <w:kern w:val="0"/>
          <w:sz w:val="24"/>
          <w:szCs w:val="24"/>
        </w:rPr>
        <w:t>森林经营管理软件，与德国专家合作进行二次开发，经过反复调试，最终建成自己的森林经营管理系统。</w:t>
      </w:r>
    </w:p>
    <w:p w:rsidR="003270DD" w:rsidRPr="0052228C" w:rsidRDefault="003270DD"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改造后的</w:t>
      </w:r>
      <w:proofErr w:type="spellStart"/>
      <w:r w:rsidRPr="0052228C">
        <w:rPr>
          <w:rFonts w:asciiTheme="minorEastAsia" w:hAnsiTheme="minorEastAsia" w:cs="宋体"/>
          <w:kern w:val="0"/>
          <w:sz w:val="24"/>
          <w:szCs w:val="24"/>
        </w:rPr>
        <w:t>Proforst</w:t>
      </w:r>
      <w:proofErr w:type="spellEnd"/>
      <w:r w:rsidRPr="0052228C">
        <w:rPr>
          <w:rFonts w:asciiTheme="minorEastAsia" w:hAnsiTheme="minorEastAsia" w:cs="宋体"/>
          <w:kern w:val="0"/>
          <w:sz w:val="24"/>
          <w:szCs w:val="24"/>
        </w:rPr>
        <w:t>森林经营管理软件，不仅是一个统计软件，更是一个自动分析预测软件，对木兰林管局规划期内主要生产经营决策提供强大科技支撑。其核心技术数据支撑是“收获量表”。收获量表是经多年积累、通过庞大调查数据库作支撑的核心数据库。收获量表通过总结归纳已有成果，形成客观参照，真实描述不同树种在相应条件下的发展变化情况，是森林经营的基础核心参照表，需要详细标明不同树种、年龄、立地上树木标准胸高断面积、株数、蓄积等因子，为森林经营提供量化工具，为制订营林措施提供数据支撑。以“收获量表”作为木兰林管局森林经营的标准表，通过实地对照，为科学经营提供定量标准，为措施制定提供量化参考，为目标确定提供科学预测，这是近自然育林核心理念和关键技术在计算机管理系统的全面应用，是林业行业发展中一项重要创新工作。</w:t>
      </w:r>
    </w:p>
    <w:p w:rsidR="003270DD" w:rsidRPr="0052228C" w:rsidRDefault="00196E3F" w:rsidP="0052228C">
      <w:pPr>
        <w:widowControl/>
        <w:tabs>
          <w:tab w:val="left" w:pos="4125"/>
        </w:tabs>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三、</w:t>
      </w:r>
      <w:r w:rsidRPr="0052228C">
        <w:rPr>
          <w:rFonts w:asciiTheme="minorEastAsia" w:hAnsiTheme="minorEastAsia" w:cs="宋体"/>
          <w:kern w:val="0"/>
          <w:sz w:val="24"/>
          <w:szCs w:val="24"/>
        </w:rPr>
        <w:t>多项经营管理实现信息化</w:t>
      </w:r>
      <w:r w:rsidR="005820ED" w:rsidRPr="0052228C">
        <w:rPr>
          <w:rFonts w:asciiTheme="minorEastAsia" w:hAnsiTheme="minorEastAsia" w:cs="宋体"/>
          <w:kern w:val="0"/>
          <w:sz w:val="24"/>
          <w:szCs w:val="24"/>
        </w:rPr>
        <w:tab/>
      </w:r>
    </w:p>
    <w:p w:rsidR="00196E3F" w:rsidRPr="0052228C" w:rsidRDefault="00196E3F"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木兰林管局利用现代信息技术，以计算机管理系统作为智慧支撑，将地理信息系统、《木兰林管局森林经营方案》、收获量表、防火卫星小站、探火雷达系统、森林公安“天眼”工程、远红外野生动物监测系统、动植物检疫检验系统、环境气象监测系统全部纳入统一信息管理平台，形成经营决策中心数据库，进而建立智慧化发展长效机制，实现经营管理高度信息化、智慧化。</w:t>
      </w:r>
    </w:p>
    <w:p w:rsidR="00196E3F" w:rsidRPr="0052228C" w:rsidRDefault="00196E3F"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目前，由木兰林管局承担的“基于近自然森林经营的森林资源管理系统”引进项目，已经通过国家林业和草原局组织的专家验收。经过对引进软件系统进行修改、汉化、开发，形成了一套适合我国国情、简便易用、科学高效的森林资源管理系统软件，具备分类、汇总、计算以及辅助经营决策等功能，能满足我国北方大部分地区森林资源的林分类型、多样经营措施、多层面的统计要求，可为森林经营、有效管理提供科学依据</w:t>
      </w:r>
      <w:r w:rsidRPr="0052228C">
        <w:rPr>
          <w:rFonts w:asciiTheme="minorEastAsia" w:hAnsiTheme="minorEastAsia" w:cs="宋体" w:hint="eastAsia"/>
          <w:kern w:val="0"/>
          <w:sz w:val="24"/>
          <w:szCs w:val="24"/>
        </w:rPr>
        <w:t>。</w:t>
      </w:r>
    </w:p>
    <w:p w:rsidR="00D63275" w:rsidRPr="0052228C" w:rsidRDefault="00B5330A" w:rsidP="0052228C">
      <w:pPr>
        <w:widowControl/>
        <w:spacing w:line="390" w:lineRule="exact"/>
        <w:ind w:firstLineChars="200" w:firstLine="480"/>
        <w:jc w:val="left"/>
        <w:rPr>
          <w:rFonts w:asciiTheme="minorEastAsia" w:hAnsiTheme="minorEastAsia" w:cs="宋体"/>
          <w:kern w:val="0"/>
          <w:sz w:val="24"/>
          <w:szCs w:val="24"/>
        </w:rPr>
      </w:pPr>
      <w:r w:rsidRPr="0052228C">
        <w:rPr>
          <w:rFonts w:asciiTheme="minorEastAsia" w:hAnsiTheme="minorEastAsia" w:cs="宋体"/>
          <w:noProof/>
          <w:kern w:val="0"/>
          <w:sz w:val="24"/>
          <w:szCs w:val="24"/>
        </w:rPr>
        <w:pict>
          <v:shape id="_x0000_s2087" type="#_x0000_t98" style="position:absolute;left:0;text-align:left;margin-left:3pt;margin-top:6.15pt;width:81.75pt;height:42.75pt;z-index:251677696">
            <v:textbox style="mso-next-textbox:#_x0000_s2087">
              <w:txbxContent>
                <w:p w:rsidR="00D63275" w:rsidRPr="003C3835" w:rsidRDefault="00D63275" w:rsidP="00D63275">
                  <w:pPr>
                    <w:rPr>
                      <w:b/>
                      <w:color w:val="984806" w:themeColor="accent6" w:themeShade="80"/>
                      <w:sz w:val="28"/>
                      <w:szCs w:val="28"/>
                    </w:rPr>
                  </w:pPr>
                  <w:r w:rsidRPr="003C3835">
                    <w:rPr>
                      <w:rFonts w:hint="eastAsia"/>
                      <w:b/>
                      <w:color w:val="984806" w:themeColor="accent6" w:themeShade="80"/>
                      <w:sz w:val="28"/>
                      <w:szCs w:val="28"/>
                    </w:rPr>
                    <w:t>产业经济</w:t>
                  </w:r>
                </w:p>
              </w:txbxContent>
            </v:textbox>
          </v:shape>
        </w:pict>
      </w:r>
    </w:p>
    <w:p w:rsidR="00D63275" w:rsidRPr="0052228C" w:rsidRDefault="00D63275" w:rsidP="0052228C">
      <w:pPr>
        <w:widowControl/>
        <w:spacing w:line="390" w:lineRule="exact"/>
        <w:ind w:firstLineChars="200" w:firstLine="480"/>
        <w:jc w:val="left"/>
        <w:rPr>
          <w:rFonts w:asciiTheme="minorEastAsia" w:hAnsiTheme="minorEastAsia" w:cs="宋体"/>
          <w:kern w:val="0"/>
          <w:sz w:val="24"/>
          <w:szCs w:val="24"/>
        </w:rPr>
      </w:pPr>
    </w:p>
    <w:p w:rsidR="00E655BE" w:rsidRPr="0052228C" w:rsidRDefault="00E655BE" w:rsidP="0052228C">
      <w:pPr>
        <w:widowControl/>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hint="eastAsia"/>
          <w:bCs/>
          <w:kern w:val="0"/>
          <w:sz w:val="28"/>
          <w:szCs w:val="28"/>
        </w:rPr>
        <w:t>2019年四大类林产品质量受监测</w:t>
      </w:r>
    </w:p>
    <w:p w:rsidR="00E655BE" w:rsidRPr="0052228C" w:rsidRDefault="00E655BE" w:rsidP="0052228C">
      <w:pPr>
        <w:widowControl/>
        <w:spacing w:line="390" w:lineRule="exact"/>
        <w:ind w:rightChars="-27" w:right="-57"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lastRenderedPageBreak/>
        <w:t>国家林业和草原局日前印发通知，开展2019年林产品质量监测工作，重点对食用林产品及其产地土壤、木质林产品、林化产品、花卉产品等四大类进行监测。</w:t>
      </w:r>
    </w:p>
    <w:p w:rsidR="00E655BE" w:rsidRPr="0052228C" w:rsidRDefault="00E655BE"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hint="eastAsia"/>
          <w:kern w:val="0"/>
          <w:sz w:val="24"/>
          <w:szCs w:val="24"/>
        </w:rPr>
        <w:t>通知要求，针对监测抽查发现的行业性和区域性质量问题，要组织行业协会、质检机构和专家开展质量分析和研究，督促和指导生产者解决相关问题，提高产品质量，培育林业品牌，保障消费安全，促进行业健康发展。各级林业和草原主管部门要加强对承担监测任务质检机构的监督和管理，确保监测工作质量，要督促各受检单位提高产品质量，切实履行生产单位的产品质量安全主体责任，积极配合抽样和监测工作。承担监测任务的质检机构要规范抽样检测工作人员行为，确保监测工作的科学性、公正性、真实性、准确性。</w:t>
      </w:r>
    </w:p>
    <w:p w:rsidR="00D63275" w:rsidRPr="0052228C" w:rsidRDefault="00D63275" w:rsidP="0052228C">
      <w:pPr>
        <w:widowControl/>
        <w:spacing w:beforeLines="50" w:afterLines="50" w:line="390" w:lineRule="exact"/>
        <w:jc w:val="center"/>
        <w:rPr>
          <w:rFonts w:asciiTheme="minorEastAsia" w:hAnsiTheme="minorEastAsia" w:cs="宋体"/>
          <w:bCs/>
          <w:kern w:val="0"/>
          <w:sz w:val="28"/>
          <w:szCs w:val="28"/>
        </w:rPr>
      </w:pPr>
      <w:r w:rsidRPr="0052228C">
        <w:rPr>
          <w:rFonts w:asciiTheme="minorEastAsia" w:hAnsiTheme="minorEastAsia" w:cs="宋体"/>
          <w:bCs/>
          <w:kern w:val="0"/>
          <w:sz w:val="28"/>
          <w:szCs w:val="28"/>
        </w:rPr>
        <w:t>细胞壁力学新技术将提速植物纤维产业</w:t>
      </w:r>
    </w:p>
    <w:p w:rsidR="00D63275" w:rsidRPr="0052228C" w:rsidRDefault="00D63275"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国际竹藤中心联合国内多家科研院所共同完成的“植物细胞壁力学表征技术体系构建及应用”项目，在木材微薄片零距拉伸技术、单根植物短纤维微拉伸技术和植物细胞壁纳米压痕技术等方面取得了重要突破。</w:t>
      </w:r>
    </w:p>
    <w:p w:rsidR="00D63275" w:rsidRPr="0052228C" w:rsidRDefault="00D63275"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细胞壁力学新技术的应用，将有助于解决植物纤维细胞壁基础科学难题，促进植物纤维产业发展。”国际竹藤中心相关负责人说，细胞壁是植物的骨架结构和强度承载主体，对植物的生长和高效利用至关重要。细胞壁力学是植物生物力学研究的前沿领域。由于细胞壁尺寸微小，对其直接进行力学性能表征非常困难，是公认的世界性难题。经过15年的联合攻关，项目成功研制国内首台植物短纤维专用力学测试仪，在国际上最早实现商品化生产。该植物短纤维专用力学测试仪设备可以准确、快速测试长度1.5毫米、直径10微米以上各种植物纤维在不同湿度环境下的纵向拉伸力学性能，测试速度可达每小时10-15根，完成了包括木、竹、藤、麻、棕榈等20余种植物纤维纵向力学性能的系统测试，构建了目前国际上最丰富的植物纤维细胞壁力学性能数据库。</w:t>
      </w:r>
    </w:p>
    <w:p w:rsidR="00D63275" w:rsidRPr="0052228C" w:rsidRDefault="00D63275"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植物细胞壁力学表征技术体系构建及应用”项目在国际上首次构建了从组织、细胞至纳米尺度完整的细胞壁力学表征体系。其研究方法是探索木材力学、木材物理学、树木发育学、木材功能性改良、木材性质快速评价等相关领域一些重要科学问题的关键。项目研发构建的表征体系，在多个领域开展了系列创新应用研究，将极大地推动所涉领域科学理论与技术的发展。项目首次定量揭示了纤维素、半纤维素、木质素三大组分对细胞壁力学的不同贡献。通过实验方法学创新，揭示了含水率对木竹纤维细胞壁不同力学性能的影响规律，从细胞水平揭示了木竹材料宏观力学性能对含水率响应的差异性机理。基于纤维力学提出了竹材纤维利用的新观点，揭示了竹子多尺度非均质结构强韧机制。在木材改性、木材胶合、植物纤维复合材料界面等领域也开展了大量的研究工作。植物细胞壁力学表征技术体系的构建和应用促进了我国木竹材科学研究，对仿细胞壁先进材料、高性能植物纤维复合材料、制浆造纸、纺织材料等相关领域具有重要参考价值。</w:t>
      </w:r>
    </w:p>
    <w:p w:rsidR="00D63275" w:rsidRPr="0052228C" w:rsidRDefault="00D63275"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lastRenderedPageBreak/>
        <w:t>“植物细胞壁力学表征技术体系构建及应用”项目通过研发创新技术和高精尖科研设备满足前沿基础研究需要，成果在天津科技大学、南京林业大学、苏州大学、中南林业科技大学等10余所大学和研究所得到应用，该项目在我国农林领域树立了标杆，是引导和促进相关产业发展的成功范例。</w:t>
      </w:r>
    </w:p>
    <w:p w:rsidR="00D63275" w:rsidRPr="0052228C" w:rsidRDefault="00D63275" w:rsidP="00D63275">
      <w:pPr>
        <w:widowControl/>
        <w:spacing w:line="390" w:lineRule="exact"/>
        <w:ind w:firstLineChars="200" w:firstLine="480"/>
        <w:jc w:val="left"/>
        <w:rPr>
          <w:rFonts w:asciiTheme="minorEastAsia" w:hAnsiTheme="minorEastAsia" w:cs="宋体"/>
          <w:kern w:val="0"/>
          <w:sz w:val="24"/>
          <w:szCs w:val="24"/>
        </w:rPr>
      </w:pPr>
    </w:p>
    <w:p w:rsidR="00236B75" w:rsidRPr="0052228C" w:rsidRDefault="00B5330A" w:rsidP="0052228C">
      <w:pPr>
        <w:spacing w:line="390" w:lineRule="exact"/>
        <w:ind w:firstLineChars="200" w:firstLine="480"/>
        <w:rPr>
          <w:rFonts w:asciiTheme="minorEastAsia" w:hAnsiTheme="minorEastAsia" w:cs="宋体"/>
          <w:kern w:val="0"/>
          <w:sz w:val="24"/>
          <w:szCs w:val="24"/>
        </w:rPr>
      </w:pPr>
      <w:r w:rsidRPr="0052228C">
        <w:rPr>
          <w:rFonts w:asciiTheme="minorEastAsia" w:hAnsiTheme="minorEastAsia" w:cstheme="majorBidi"/>
          <w:bCs/>
          <w:noProof/>
          <w:sz w:val="24"/>
          <w:szCs w:val="24"/>
        </w:rPr>
        <w:pict>
          <v:shape id="_x0000_s2082" type="#_x0000_t98" style="position:absolute;left:0;text-align:left;margin-left:.3pt;margin-top:-.15pt;width:81.75pt;height:42.75pt;z-index:251674624">
            <v:textbox style="mso-next-textbox:#_x0000_s2082">
              <w:txbxContent>
                <w:p w:rsidR="003948E4" w:rsidRPr="003C3835" w:rsidRDefault="003948E4" w:rsidP="00A92109">
                  <w:pPr>
                    <w:rPr>
                      <w:b/>
                      <w:color w:val="984806" w:themeColor="accent6" w:themeShade="80"/>
                      <w:sz w:val="28"/>
                      <w:szCs w:val="28"/>
                    </w:rPr>
                  </w:pPr>
                  <w:r w:rsidRPr="003C3835">
                    <w:rPr>
                      <w:rFonts w:hint="eastAsia"/>
                      <w:b/>
                      <w:color w:val="984806" w:themeColor="accent6" w:themeShade="80"/>
                      <w:sz w:val="28"/>
                      <w:szCs w:val="28"/>
                    </w:rPr>
                    <w:t>科普之窗</w:t>
                  </w:r>
                </w:p>
              </w:txbxContent>
            </v:textbox>
          </v:shape>
        </w:pict>
      </w:r>
    </w:p>
    <w:p w:rsidR="00924D8D" w:rsidRPr="0052228C" w:rsidRDefault="00924D8D" w:rsidP="0052228C">
      <w:pPr>
        <w:spacing w:line="390" w:lineRule="exact"/>
        <w:ind w:firstLineChars="200" w:firstLine="560"/>
        <w:rPr>
          <w:rFonts w:asciiTheme="minorEastAsia" w:hAnsiTheme="minorEastAsia"/>
          <w:sz w:val="28"/>
          <w:szCs w:val="28"/>
        </w:rPr>
      </w:pPr>
    </w:p>
    <w:p w:rsidR="000520C3" w:rsidRPr="0052228C" w:rsidRDefault="00D63154" w:rsidP="0052228C">
      <w:pPr>
        <w:spacing w:afterLines="50" w:line="390" w:lineRule="exact"/>
        <w:jc w:val="center"/>
        <w:rPr>
          <w:rFonts w:asciiTheme="minorEastAsia" w:hAnsiTheme="minorEastAsia" w:cs="宋体"/>
          <w:bCs/>
          <w:kern w:val="0"/>
          <w:sz w:val="28"/>
          <w:szCs w:val="28"/>
        </w:rPr>
      </w:pPr>
      <w:r w:rsidRPr="0052228C">
        <w:rPr>
          <w:rFonts w:asciiTheme="minorEastAsia" w:hAnsiTheme="minorEastAsia" w:cs="宋体"/>
          <w:bCs/>
          <w:kern w:val="0"/>
          <w:sz w:val="28"/>
          <w:szCs w:val="28"/>
        </w:rPr>
        <w:t>科学家揭开毛白杨身世之谜</w:t>
      </w:r>
    </w:p>
    <w:p w:rsidR="00D63154" w:rsidRPr="0052228C" w:rsidRDefault="00D63154" w:rsidP="0052228C">
      <w:pPr>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日前，中国林科院林业研究所张建国研究组联合北京林业大学康向阳团队，在系统采集全球白杨派物种居群样本基础上，应用6个叶绿体位点和10个核基因位点，对8个白杨派物种36个居群392个个体进行测序，通过系统发育重建和遗传结构分析，清晰地解析了毛白杨和河北杨的起源问题，研究成果发表在《科学报告》（Scientific Reports）上。</w:t>
      </w:r>
    </w:p>
    <w:p w:rsidR="00D63154" w:rsidRPr="0052228C" w:rsidRDefault="00D63154" w:rsidP="0052228C">
      <w:pPr>
        <w:widowControl/>
        <w:spacing w:line="390" w:lineRule="exact"/>
        <w:ind w:rightChars="12" w:right="25"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毛白杨是我国特有的最著名的杨属物种，主要分布在黄河流域中下游温和的平原地带。由于毛白杨一直没有发现天然居群，其起源问题深受关注。近50年来，中外许多学者对毛白杨的起源进行了大量研究，但一直没有取得突破，争论颇多。</w:t>
      </w:r>
    </w:p>
    <w:p w:rsidR="00D63154" w:rsidRPr="0052228C" w:rsidRDefault="00D63154" w:rsidP="0052228C">
      <w:pPr>
        <w:widowControl/>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研究发现，毛白杨主要起源于59万年前的一次杂交事件。当时，响叶杨母本和银白杨父本通过天然杂交产生了今天广泛栽培的毛白杨。有趣的是，作为父本的银白杨，距离毛白杨分布区最近的居群现分布在我国新疆的额尔齐斯河流域，而作为母本的响叶杨则分布在我国秦岭以南广阔的亚热带地区。距离如此遥远的两个物种，在地质历史上是如何分布的呢？</w:t>
      </w:r>
    </w:p>
    <w:p w:rsidR="00D63154" w:rsidRPr="0052228C" w:rsidRDefault="00D63154" w:rsidP="0052228C">
      <w:pPr>
        <w:widowControl/>
        <w:spacing w:line="390" w:lineRule="exact"/>
        <w:ind w:rightChars="40" w:right="84"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目前的推测是，59万年前，随着中更新世降温事件的结束，全球温度随之升高，响叶杨向北扩张，其北界分布可能到达了燕山山脉和太行山脉的河谷地带或平原区，而银白杨南界的分布可能同样到达或接近燕山山脉和太行山脉，但其分布在海拔较高的温凉山地。由于两个物种同域分布，发生单向不对称杂交，导致杂种毛白杨物种的形成。后来，随着气温下降，响叶杨向南退却，银白杨则向西北方向退却，毛白杨则留在了燕山山脉和太行山脉的河谷地带或与平原交接的山前地带，形成了今天三个物种神奇的地理分布格局。</w:t>
      </w:r>
    </w:p>
    <w:p w:rsidR="00D63154" w:rsidRPr="0052228C" w:rsidRDefault="00D63154" w:rsidP="0052228C">
      <w:pPr>
        <w:spacing w:line="390" w:lineRule="exact"/>
        <w:ind w:firstLineChars="200" w:firstLine="480"/>
        <w:rPr>
          <w:rFonts w:asciiTheme="minorEastAsia" w:hAnsiTheme="minorEastAsia" w:cs="宋体"/>
          <w:kern w:val="0"/>
          <w:sz w:val="24"/>
          <w:szCs w:val="24"/>
        </w:rPr>
      </w:pPr>
      <w:r w:rsidRPr="0052228C">
        <w:rPr>
          <w:rFonts w:asciiTheme="minorEastAsia" w:hAnsiTheme="minorEastAsia" w:cs="宋体"/>
          <w:kern w:val="0"/>
          <w:sz w:val="24"/>
          <w:szCs w:val="24"/>
        </w:rPr>
        <w:t>研究中还有一个有趣的发现，现在广泛栽培的毛白杨均为第一代杂种，表明毛白杨杂种自产生后一直以克隆繁殖的方式，维系物种的繁衍</w:t>
      </w:r>
      <w:r w:rsidRPr="0052228C">
        <w:rPr>
          <w:rFonts w:asciiTheme="minorEastAsia" w:hAnsiTheme="minorEastAsia" w:cs="宋体" w:hint="eastAsia"/>
          <w:kern w:val="0"/>
          <w:sz w:val="24"/>
          <w:szCs w:val="24"/>
        </w:rPr>
        <w:t>。</w:t>
      </w:r>
    </w:p>
    <w:p w:rsidR="00501AB9" w:rsidRPr="00E06C16" w:rsidRDefault="00501AB9" w:rsidP="0052228C">
      <w:pPr>
        <w:spacing w:line="390" w:lineRule="exact"/>
        <w:ind w:firstLineChars="200" w:firstLine="480"/>
        <w:rPr>
          <w:rFonts w:ascii="仿宋_GB2312" w:eastAsia="仿宋_GB2312" w:hAnsi="宋体" w:cs="宋体"/>
          <w:b/>
          <w:kern w:val="0"/>
          <w:sz w:val="24"/>
          <w:szCs w:val="24"/>
        </w:rPr>
      </w:pPr>
    </w:p>
    <w:p w:rsidR="00447331" w:rsidRPr="009471ED" w:rsidRDefault="00B5330A" w:rsidP="0052228C">
      <w:pPr>
        <w:spacing w:afterLines="50" w:line="360" w:lineRule="exact"/>
        <w:rPr>
          <w:rFonts w:asciiTheme="minorEastAsia" w:hAnsiTheme="minorEastAsia" w:cs="宋体"/>
          <w:kern w:val="0"/>
          <w:sz w:val="24"/>
          <w:szCs w:val="24"/>
        </w:rPr>
      </w:pPr>
      <w:r>
        <w:rPr>
          <w:rFonts w:asciiTheme="minorEastAsia" w:hAnsiTheme="minorEastAsia" w:cs="宋体"/>
          <w:noProof/>
          <w:kern w:val="0"/>
          <w:sz w:val="24"/>
          <w:szCs w:val="24"/>
        </w:rPr>
        <w:pict>
          <v:shape id="_x0000_s2068" type="#_x0000_t32" style="position:absolute;left:0;text-align:left;margin-left:.3pt;margin-top:11.95pt;width:440.25pt;height:3pt;flip:y;z-index:251667456" o:connectortype="straight"/>
        </w:pict>
      </w:r>
    </w:p>
    <w:p w:rsidR="009F226D" w:rsidRPr="00A127F6" w:rsidRDefault="00B56CC9" w:rsidP="00A127F6">
      <w:pPr>
        <w:widowControl/>
        <w:spacing w:line="360" w:lineRule="exact"/>
        <w:ind w:firstLineChars="200" w:firstLine="482"/>
        <w:rPr>
          <w:rFonts w:asciiTheme="minorEastAsia" w:hAnsiTheme="minorEastAsia" w:cs="宋体"/>
          <w:b/>
          <w:kern w:val="0"/>
          <w:sz w:val="24"/>
          <w:szCs w:val="24"/>
        </w:rPr>
      </w:pPr>
      <w:r w:rsidRPr="00A127F6">
        <w:rPr>
          <w:rFonts w:asciiTheme="minorEastAsia" w:hAnsiTheme="minorEastAsia" w:cs="宋体" w:hint="eastAsia"/>
          <w:b/>
          <w:kern w:val="0"/>
          <w:sz w:val="24"/>
          <w:szCs w:val="24"/>
        </w:rPr>
        <w:t>主  编：</w:t>
      </w:r>
      <w:r w:rsidR="007E3C3B" w:rsidRPr="00A127F6">
        <w:rPr>
          <w:rFonts w:asciiTheme="minorEastAsia" w:hAnsiTheme="minorEastAsia" w:cs="宋体" w:hint="eastAsia"/>
          <w:b/>
          <w:kern w:val="0"/>
          <w:sz w:val="24"/>
          <w:szCs w:val="24"/>
        </w:rPr>
        <w:t>侯丽伟</w:t>
      </w:r>
      <w:r w:rsidR="009F226D" w:rsidRPr="00A127F6">
        <w:rPr>
          <w:rFonts w:asciiTheme="minorEastAsia" w:hAnsiTheme="minorEastAsia" w:cs="宋体" w:hint="eastAsia"/>
          <w:b/>
          <w:kern w:val="0"/>
          <w:sz w:val="24"/>
          <w:szCs w:val="24"/>
        </w:rPr>
        <w:t xml:space="preserve">                         </w:t>
      </w:r>
      <w:r w:rsidR="00B34469" w:rsidRPr="00A127F6">
        <w:rPr>
          <w:rFonts w:asciiTheme="minorEastAsia" w:hAnsiTheme="minorEastAsia" w:cs="宋体" w:hint="eastAsia"/>
          <w:b/>
          <w:kern w:val="0"/>
          <w:sz w:val="24"/>
          <w:szCs w:val="24"/>
        </w:rPr>
        <w:t xml:space="preserve">   </w:t>
      </w:r>
      <w:r w:rsidR="009F226D" w:rsidRPr="00A127F6">
        <w:rPr>
          <w:rFonts w:asciiTheme="minorEastAsia" w:hAnsiTheme="minorEastAsia" w:cs="宋体" w:hint="eastAsia"/>
          <w:b/>
          <w:kern w:val="0"/>
          <w:sz w:val="24"/>
          <w:szCs w:val="24"/>
        </w:rPr>
        <w:t>责任编辑：</w:t>
      </w:r>
      <w:r w:rsidR="007E3C3B" w:rsidRPr="00A127F6">
        <w:rPr>
          <w:rFonts w:asciiTheme="minorEastAsia" w:hAnsiTheme="minorEastAsia" w:cs="宋体" w:hint="eastAsia"/>
          <w:b/>
          <w:kern w:val="0"/>
          <w:sz w:val="24"/>
          <w:szCs w:val="24"/>
        </w:rPr>
        <w:t>姚露贤  魏松艳</w:t>
      </w:r>
      <w:r w:rsidR="007C577C" w:rsidRPr="00A127F6">
        <w:rPr>
          <w:rFonts w:asciiTheme="minorEastAsia" w:hAnsiTheme="minorEastAsia" w:cs="宋体"/>
          <w:b/>
          <w:kern w:val="0"/>
          <w:sz w:val="24"/>
          <w:szCs w:val="24"/>
        </w:rPr>
        <w:t xml:space="preserve"> </w:t>
      </w:r>
    </w:p>
    <w:p w:rsidR="008B3185" w:rsidRDefault="009F226D" w:rsidP="000E659E">
      <w:pPr>
        <w:widowControl/>
        <w:spacing w:line="360" w:lineRule="exact"/>
        <w:ind w:firstLineChars="200" w:firstLine="482"/>
        <w:rPr>
          <w:rFonts w:asciiTheme="minorEastAsia" w:hAnsiTheme="minorEastAsia" w:cs="宋体"/>
          <w:sz w:val="24"/>
          <w:szCs w:val="24"/>
        </w:rPr>
      </w:pPr>
      <w:r w:rsidRPr="00A127F6">
        <w:rPr>
          <w:rFonts w:asciiTheme="minorEastAsia" w:hAnsiTheme="minorEastAsia" w:cs="宋体" w:hint="eastAsia"/>
          <w:b/>
          <w:kern w:val="0"/>
          <w:sz w:val="24"/>
          <w:szCs w:val="24"/>
        </w:rPr>
        <w:t>电  话：</w:t>
      </w:r>
      <w:r w:rsidR="00546E2B" w:rsidRPr="00A127F6">
        <w:rPr>
          <w:rFonts w:asciiTheme="minorEastAsia" w:hAnsiTheme="minorEastAsia" w:cs="宋体" w:hint="eastAsia"/>
          <w:b/>
          <w:kern w:val="0"/>
          <w:sz w:val="24"/>
          <w:szCs w:val="24"/>
        </w:rPr>
        <w:t>0431- 85850400</w:t>
      </w:r>
      <w:r w:rsidRPr="00A127F6">
        <w:rPr>
          <w:rFonts w:asciiTheme="minorEastAsia" w:hAnsiTheme="minorEastAsia" w:cs="宋体" w:hint="eastAsia"/>
          <w:b/>
          <w:kern w:val="0"/>
          <w:sz w:val="24"/>
          <w:szCs w:val="24"/>
        </w:rPr>
        <w:t xml:space="preserve">   </w:t>
      </w:r>
      <w:r w:rsidRPr="009471ED">
        <w:rPr>
          <w:rFonts w:asciiTheme="minorEastAsia" w:hAnsiTheme="minorEastAsia" w:cs="宋体" w:hint="eastAsia"/>
          <w:kern w:val="0"/>
          <w:sz w:val="24"/>
          <w:szCs w:val="24"/>
        </w:rPr>
        <w:t xml:space="preserve"> </w:t>
      </w:r>
      <w:r w:rsidR="00D568CF">
        <w:rPr>
          <w:rFonts w:asciiTheme="minorEastAsia" w:hAnsiTheme="minorEastAsia" w:cs="宋体"/>
          <w:sz w:val="24"/>
          <w:szCs w:val="24"/>
        </w:rPr>
        <w:tab/>
      </w:r>
    </w:p>
    <w:p w:rsidR="00B12863" w:rsidRDefault="00B12863" w:rsidP="00B12863">
      <w:pPr>
        <w:widowControl/>
        <w:spacing w:line="360" w:lineRule="exact"/>
        <w:ind w:firstLineChars="200" w:firstLine="480"/>
        <w:rPr>
          <w:rFonts w:asciiTheme="minorEastAsia" w:hAnsiTheme="minorEastAsia" w:cs="宋体"/>
          <w:sz w:val="24"/>
          <w:szCs w:val="24"/>
        </w:rPr>
      </w:pPr>
    </w:p>
    <w:p w:rsidR="00B12863" w:rsidRDefault="00B12863" w:rsidP="00B12863">
      <w:pPr>
        <w:widowControl/>
        <w:spacing w:line="360" w:lineRule="exact"/>
        <w:ind w:firstLineChars="200" w:firstLine="480"/>
        <w:rPr>
          <w:rFonts w:asciiTheme="minorEastAsia" w:hAnsiTheme="minorEastAsia" w:cs="宋体"/>
          <w:sz w:val="24"/>
          <w:szCs w:val="24"/>
        </w:rPr>
      </w:pPr>
    </w:p>
    <w:sectPr w:rsidR="00B12863" w:rsidSect="00BA4CB5">
      <w:footerReference w:type="default" r:id="rId8"/>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5D76" w:rsidRDefault="00885D76" w:rsidP="00A10CA5">
      <w:r>
        <w:separator/>
      </w:r>
    </w:p>
  </w:endnote>
  <w:endnote w:type="continuationSeparator" w:id="0">
    <w:p w:rsidR="00885D76" w:rsidRDefault="00885D76" w:rsidP="00A10CA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楷体">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B5330A" w:rsidP="00877538">
        <w:pPr>
          <w:pStyle w:val="a4"/>
          <w:numPr>
            <w:ilvl w:val="0"/>
            <w:numId w:val="4"/>
          </w:numPr>
          <w:jc w:val="center"/>
        </w:pPr>
        <w:fldSimple w:instr=" PAGE   \* MERGEFORMAT ">
          <w:r w:rsidR="0052228C" w:rsidRPr="0052228C">
            <w:rPr>
              <w:noProof/>
              <w:lang w:val="zh-CN"/>
            </w:rPr>
            <w:t>2</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5D76" w:rsidRDefault="00885D76" w:rsidP="00A10CA5">
      <w:r>
        <w:separator/>
      </w:r>
    </w:p>
  </w:footnote>
  <w:footnote w:type="continuationSeparator" w:id="0">
    <w:p w:rsidR="00885D76" w:rsidRDefault="00885D76"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25FE2"/>
    <w:multiLevelType w:val="hybridMultilevel"/>
    <w:tmpl w:val="5B3A33A8"/>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1">
    <w:nsid w:val="00A27714"/>
    <w:multiLevelType w:val="hybridMultilevel"/>
    <w:tmpl w:val="C950A9A6"/>
    <w:lvl w:ilvl="0" w:tplc="EC7E216E">
      <w:start w:val="1"/>
      <w:numFmt w:val="bullet"/>
      <w:lvlText w:val=""/>
      <w:lvlJc w:val="left"/>
      <w:pPr>
        <w:ind w:left="420" w:hanging="420"/>
      </w:pPr>
      <w:rPr>
        <w:rFonts w:ascii="Wingdings" w:hAnsi="Wingdings"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50B16FB"/>
    <w:multiLevelType w:val="hybridMultilevel"/>
    <w:tmpl w:val="FD600850"/>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3">
    <w:nsid w:val="09536F25"/>
    <w:multiLevelType w:val="hybridMultilevel"/>
    <w:tmpl w:val="6296B45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11BE60B8"/>
    <w:multiLevelType w:val="hybridMultilevel"/>
    <w:tmpl w:val="148A3B76"/>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5">
    <w:nsid w:val="120C1309"/>
    <w:multiLevelType w:val="hybridMultilevel"/>
    <w:tmpl w:val="DE4A3E0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133E6004"/>
    <w:multiLevelType w:val="hybridMultilevel"/>
    <w:tmpl w:val="86D87A0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142D30FC"/>
    <w:multiLevelType w:val="hybridMultilevel"/>
    <w:tmpl w:val="E41EDF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183B3F4E"/>
    <w:multiLevelType w:val="hybridMultilevel"/>
    <w:tmpl w:val="58AC32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1AFB4AA1"/>
    <w:multiLevelType w:val="hybridMultilevel"/>
    <w:tmpl w:val="7160EAFA"/>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20C60FE1"/>
    <w:multiLevelType w:val="hybridMultilevel"/>
    <w:tmpl w:val="9AB492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1C133F8"/>
    <w:multiLevelType w:val="hybridMultilevel"/>
    <w:tmpl w:val="1EEA6DE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1EE64AB"/>
    <w:multiLevelType w:val="hybridMultilevel"/>
    <w:tmpl w:val="5E185A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22B41C20"/>
    <w:multiLevelType w:val="hybridMultilevel"/>
    <w:tmpl w:val="379E132E"/>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4">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27EA7B35"/>
    <w:multiLevelType w:val="hybridMultilevel"/>
    <w:tmpl w:val="0D32B4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2B940320"/>
    <w:multiLevelType w:val="hybridMultilevel"/>
    <w:tmpl w:val="66E264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2C7710C5"/>
    <w:multiLevelType w:val="hybridMultilevel"/>
    <w:tmpl w:val="39E0A31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2D5D733C"/>
    <w:multiLevelType w:val="multilevel"/>
    <w:tmpl w:val="310E5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0A559B4"/>
    <w:multiLevelType w:val="hybridMultilevel"/>
    <w:tmpl w:val="4184C31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3B795D08"/>
    <w:multiLevelType w:val="hybridMultilevel"/>
    <w:tmpl w:val="B186DC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3B99109C"/>
    <w:multiLevelType w:val="hybridMultilevel"/>
    <w:tmpl w:val="089829E2"/>
    <w:lvl w:ilvl="0" w:tplc="0409000B">
      <w:start w:val="1"/>
      <w:numFmt w:val="bullet"/>
      <w:lvlText w:val=""/>
      <w:lvlJc w:val="left"/>
      <w:pPr>
        <w:ind w:left="1140" w:hanging="420"/>
      </w:pPr>
      <w:rPr>
        <w:rFonts w:ascii="Wingdings" w:hAnsi="Wingdings" w:hint="default"/>
      </w:rPr>
    </w:lvl>
    <w:lvl w:ilvl="1" w:tplc="0409000B">
      <w:start w:val="1"/>
      <w:numFmt w:val="bullet"/>
      <w:lvlText w:val=""/>
      <w:lvlJc w:val="left"/>
      <w:pPr>
        <w:ind w:left="1560" w:hanging="420"/>
      </w:pPr>
      <w:rPr>
        <w:rFonts w:ascii="Wingdings" w:hAnsi="Wingdings" w:hint="default"/>
      </w:rPr>
    </w:lvl>
    <w:lvl w:ilvl="2" w:tplc="04090005"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3" w:tentative="1">
      <w:start w:val="1"/>
      <w:numFmt w:val="bullet"/>
      <w:lvlText w:val=""/>
      <w:lvlJc w:val="left"/>
      <w:pPr>
        <w:ind w:left="2820" w:hanging="420"/>
      </w:pPr>
      <w:rPr>
        <w:rFonts w:ascii="Wingdings" w:hAnsi="Wingdings" w:hint="default"/>
      </w:rPr>
    </w:lvl>
    <w:lvl w:ilvl="5" w:tplc="04090005"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3" w:tentative="1">
      <w:start w:val="1"/>
      <w:numFmt w:val="bullet"/>
      <w:lvlText w:val=""/>
      <w:lvlJc w:val="left"/>
      <w:pPr>
        <w:ind w:left="4080" w:hanging="420"/>
      </w:pPr>
      <w:rPr>
        <w:rFonts w:ascii="Wingdings" w:hAnsi="Wingdings" w:hint="default"/>
      </w:rPr>
    </w:lvl>
    <w:lvl w:ilvl="8" w:tplc="04090005" w:tentative="1">
      <w:start w:val="1"/>
      <w:numFmt w:val="bullet"/>
      <w:lvlText w:val=""/>
      <w:lvlJc w:val="left"/>
      <w:pPr>
        <w:ind w:left="4500" w:hanging="420"/>
      </w:pPr>
      <w:rPr>
        <w:rFonts w:ascii="Wingdings" w:hAnsi="Wingdings" w:hint="default"/>
      </w:rPr>
    </w:lvl>
  </w:abstractNum>
  <w:abstractNum w:abstractNumId="22">
    <w:nsid w:val="3E8B1BDE"/>
    <w:multiLevelType w:val="hybridMultilevel"/>
    <w:tmpl w:val="B180E7D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40A12B56"/>
    <w:multiLevelType w:val="hybridMultilevel"/>
    <w:tmpl w:val="9202C32A"/>
    <w:lvl w:ilvl="0" w:tplc="04090001">
      <w:start w:val="1"/>
      <w:numFmt w:val="bullet"/>
      <w:lvlText w:val=""/>
      <w:lvlJc w:val="left"/>
      <w:pPr>
        <w:ind w:left="420" w:hanging="420"/>
      </w:pPr>
      <w:rPr>
        <w:rFonts w:ascii="Wingdings" w:hAnsi="Wingdings" w:hint="default"/>
      </w:rPr>
    </w:lvl>
    <w:lvl w:ilvl="1" w:tplc="04090001">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43281C9A"/>
    <w:multiLevelType w:val="hybridMultilevel"/>
    <w:tmpl w:val="F6666B46"/>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5">
    <w:nsid w:val="44B359C4"/>
    <w:multiLevelType w:val="hybridMultilevel"/>
    <w:tmpl w:val="AB6E211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44F94FC6"/>
    <w:multiLevelType w:val="hybridMultilevel"/>
    <w:tmpl w:val="2B6891C2"/>
    <w:lvl w:ilvl="0" w:tplc="0409000B">
      <w:start w:val="1"/>
      <w:numFmt w:val="bullet"/>
      <w:lvlText w:val=""/>
      <w:lvlJc w:val="left"/>
      <w:pPr>
        <w:ind w:left="842" w:hanging="420"/>
      </w:pPr>
      <w:rPr>
        <w:rFonts w:ascii="Wingdings" w:hAnsi="Wingdings" w:hint="default"/>
      </w:rPr>
    </w:lvl>
    <w:lvl w:ilvl="1" w:tplc="04090003" w:tentative="1">
      <w:start w:val="1"/>
      <w:numFmt w:val="bullet"/>
      <w:lvlText w:val=""/>
      <w:lvlJc w:val="left"/>
      <w:pPr>
        <w:ind w:left="1262" w:hanging="420"/>
      </w:pPr>
      <w:rPr>
        <w:rFonts w:ascii="Wingdings" w:hAnsi="Wingdings" w:hint="default"/>
      </w:rPr>
    </w:lvl>
    <w:lvl w:ilvl="2" w:tplc="04090005" w:tentative="1">
      <w:start w:val="1"/>
      <w:numFmt w:val="bullet"/>
      <w:lvlText w:val=""/>
      <w:lvlJc w:val="left"/>
      <w:pPr>
        <w:ind w:left="1682" w:hanging="420"/>
      </w:pPr>
      <w:rPr>
        <w:rFonts w:ascii="Wingdings" w:hAnsi="Wingdings" w:hint="default"/>
      </w:rPr>
    </w:lvl>
    <w:lvl w:ilvl="3" w:tplc="04090001" w:tentative="1">
      <w:start w:val="1"/>
      <w:numFmt w:val="bullet"/>
      <w:lvlText w:val=""/>
      <w:lvlJc w:val="left"/>
      <w:pPr>
        <w:ind w:left="2102" w:hanging="420"/>
      </w:pPr>
      <w:rPr>
        <w:rFonts w:ascii="Wingdings" w:hAnsi="Wingdings" w:hint="default"/>
      </w:rPr>
    </w:lvl>
    <w:lvl w:ilvl="4" w:tplc="04090003" w:tentative="1">
      <w:start w:val="1"/>
      <w:numFmt w:val="bullet"/>
      <w:lvlText w:val=""/>
      <w:lvlJc w:val="left"/>
      <w:pPr>
        <w:ind w:left="2522" w:hanging="420"/>
      </w:pPr>
      <w:rPr>
        <w:rFonts w:ascii="Wingdings" w:hAnsi="Wingdings" w:hint="default"/>
      </w:rPr>
    </w:lvl>
    <w:lvl w:ilvl="5" w:tplc="04090005" w:tentative="1">
      <w:start w:val="1"/>
      <w:numFmt w:val="bullet"/>
      <w:lvlText w:val=""/>
      <w:lvlJc w:val="left"/>
      <w:pPr>
        <w:ind w:left="2942" w:hanging="420"/>
      </w:pPr>
      <w:rPr>
        <w:rFonts w:ascii="Wingdings" w:hAnsi="Wingdings" w:hint="default"/>
      </w:rPr>
    </w:lvl>
    <w:lvl w:ilvl="6" w:tplc="04090001" w:tentative="1">
      <w:start w:val="1"/>
      <w:numFmt w:val="bullet"/>
      <w:lvlText w:val=""/>
      <w:lvlJc w:val="left"/>
      <w:pPr>
        <w:ind w:left="3362" w:hanging="420"/>
      </w:pPr>
      <w:rPr>
        <w:rFonts w:ascii="Wingdings" w:hAnsi="Wingdings" w:hint="default"/>
      </w:rPr>
    </w:lvl>
    <w:lvl w:ilvl="7" w:tplc="04090003" w:tentative="1">
      <w:start w:val="1"/>
      <w:numFmt w:val="bullet"/>
      <w:lvlText w:val=""/>
      <w:lvlJc w:val="left"/>
      <w:pPr>
        <w:ind w:left="3782" w:hanging="420"/>
      </w:pPr>
      <w:rPr>
        <w:rFonts w:ascii="Wingdings" w:hAnsi="Wingdings" w:hint="default"/>
      </w:rPr>
    </w:lvl>
    <w:lvl w:ilvl="8" w:tplc="04090005" w:tentative="1">
      <w:start w:val="1"/>
      <w:numFmt w:val="bullet"/>
      <w:lvlText w:val=""/>
      <w:lvlJc w:val="left"/>
      <w:pPr>
        <w:ind w:left="4202" w:hanging="420"/>
      </w:pPr>
      <w:rPr>
        <w:rFonts w:ascii="Wingdings" w:hAnsi="Wingdings" w:hint="default"/>
      </w:rPr>
    </w:lvl>
  </w:abstractNum>
  <w:abstractNum w:abstractNumId="27">
    <w:nsid w:val="47636C76"/>
    <w:multiLevelType w:val="multilevel"/>
    <w:tmpl w:val="8B52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B7F19FA"/>
    <w:multiLevelType w:val="hybridMultilevel"/>
    <w:tmpl w:val="8B5CF36C"/>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4D4A5018"/>
    <w:multiLevelType w:val="hybridMultilevel"/>
    <w:tmpl w:val="DC180C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58B7215B"/>
    <w:multiLevelType w:val="hybridMultilevel"/>
    <w:tmpl w:val="26F4E7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642A63BB"/>
    <w:multiLevelType w:val="hybridMultilevel"/>
    <w:tmpl w:val="99A26AA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nsid w:val="65BB09D2"/>
    <w:multiLevelType w:val="hybridMultilevel"/>
    <w:tmpl w:val="C7E64C2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nsid w:val="69930B63"/>
    <w:multiLevelType w:val="hybridMultilevel"/>
    <w:tmpl w:val="ECBA44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nsid w:val="6A756931"/>
    <w:multiLevelType w:val="hybridMultilevel"/>
    <w:tmpl w:val="832E1B60"/>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nsid w:val="6AA633E7"/>
    <w:multiLevelType w:val="hybridMultilevel"/>
    <w:tmpl w:val="6DB8BD98"/>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nsid w:val="72DD64A7"/>
    <w:multiLevelType w:val="hybridMultilevel"/>
    <w:tmpl w:val="36DE72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nsid w:val="750B016F"/>
    <w:multiLevelType w:val="multilevel"/>
    <w:tmpl w:val="809ED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9BD0F05"/>
    <w:multiLevelType w:val="hybridMultilevel"/>
    <w:tmpl w:val="9AAA021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17"/>
  </w:num>
  <w:num w:numId="3">
    <w:abstractNumId w:val="30"/>
  </w:num>
  <w:num w:numId="4">
    <w:abstractNumId w:val="14"/>
  </w:num>
  <w:num w:numId="5">
    <w:abstractNumId w:val="27"/>
  </w:num>
  <w:num w:numId="6">
    <w:abstractNumId w:val="37"/>
  </w:num>
  <w:num w:numId="7">
    <w:abstractNumId w:val="18"/>
  </w:num>
  <w:num w:numId="8">
    <w:abstractNumId w:val="15"/>
  </w:num>
  <w:num w:numId="9">
    <w:abstractNumId w:val="29"/>
  </w:num>
  <w:num w:numId="10">
    <w:abstractNumId w:val="12"/>
  </w:num>
  <w:num w:numId="11">
    <w:abstractNumId w:val="36"/>
  </w:num>
  <w:num w:numId="12">
    <w:abstractNumId w:val="10"/>
  </w:num>
  <w:num w:numId="13">
    <w:abstractNumId w:val="32"/>
  </w:num>
  <w:num w:numId="14">
    <w:abstractNumId w:val="5"/>
  </w:num>
  <w:num w:numId="15">
    <w:abstractNumId w:val="19"/>
  </w:num>
  <w:num w:numId="16">
    <w:abstractNumId w:val="1"/>
  </w:num>
  <w:num w:numId="17">
    <w:abstractNumId w:val="22"/>
  </w:num>
  <w:num w:numId="18">
    <w:abstractNumId w:val="38"/>
  </w:num>
  <w:num w:numId="19">
    <w:abstractNumId w:val="33"/>
  </w:num>
  <w:num w:numId="20">
    <w:abstractNumId w:val="20"/>
  </w:num>
  <w:num w:numId="21">
    <w:abstractNumId w:val="8"/>
  </w:num>
  <w:num w:numId="22">
    <w:abstractNumId w:val="16"/>
  </w:num>
  <w:num w:numId="23">
    <w:abstractNumId w:val="34"/>
  </w:num>
  <w:num w:numId="24">
    <w:abstractNumId w:val="31"/>
  </w:num>
  <w:num w:numId="25">
    <w:abstractNumId w:val="7"/>
  </w:num>
  <w:num w:numId="26">
    <w:abstractNumId w:val="6"/>
  </w:num>
  <w:num w:numId="27">
    <w:abstractNumId w:val="23"/>
  </w:num>
  <w:num w:numId="28">
    <w:abstractNumId w:val="9"/>
  </w:num>
  <w:num w:numId="29">
    <w:abstractNumId w:val="13"/>
  </w:num>
  <w:num w:numId="30">
    <w:abstractNumId w:val="24"/>
  </w:num>
  <w:num w:numId="31">
    <w:abstractNumId w:val="2"/>
  </w:num>
  <w:num w:numId="32">
    <w:abstractNumId w:val="4"/>
  </w:num>
  <w:num w:numId="33">
    <w:abstractNumId w:val="26"/>
  </w:num>
  <w:num w:numId="34">
    <w:abstractNumId w:val="0"/>
  </w:num>
  <w:num w:numId="35">
    <w:abstractNumId w:val="21"/>
  </w:num>
  <w:num w:numId="36">
    <w:abstractNumId w:val="35"/>
  </w:num>
  <w:num w:numId="37">
    <w:abstractNumId w:val="25"/>
  </w:num>
  <w:num w:numId="38">
    <w:abstractNumId w:val="3"/>
  </w:num>
  <w:num w:numId="39">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003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20C3"/>
    <w:rsid w:val="000600C7"/>
    <w:rsid w:val="000619E3"/>
    <w:rsid w:val="00064E2C"/>
    <w:rsid w:val="000670F9"/>
    <w:rsid w:val="00067C3B"/>
    <w:rsid w:val="00070BA3"/>
    <w:rsid w:val="000726F9"/>
    <w:rsid w:val="00072B6D"/>
    <w:rsid w:val="00072C31"/>
    <w:rsid w:val="00077334"/>
    <w:rsid w:val="00080172"/>
    <w:rsid w:val="000804A0"/>
    <w:rsid w:val="00083697"/>
    <w:rsid w:val="00086666"/>
    <w:rsid w:val="00091896"/>
    <w:rsid w:val="00092755"/>
    <w:rsid w:val="00094652"/>
    <w:rsid w:val="00097D09"/>
    <w:rsid w:val="000A11E6"/>
    <w:rsid w:val="000A6A76"/>
    <w:rsid w:val="000A7360"/>
    <w:rsid w:val="000A7406"/>
    <w:rsid w:val="000B0A84"/>
    <w:rsid w:val="000B0C04"/>
    <w:rsid w:val="000B184E"/>
    <w:rsid w:val="000B1E4D"/>
    <w:rsid w:val="000B608E"/>
    <w:rsid w:val="000B7D1A"/>
    <w:rsid w:val="000C09EF"/>
    <w:rsid w:val="000C16E0"/>
    <w:rsid w:val="000C1DDE"/>
    <w:rsid w:val="000C33D7"/>
    <w:rsid w:val="000C345C"/>
    <w:rsid w:val="000D26F3"/>
    <w:rsid w:val="000D366B"/>
    <w:rsid w:val="000D4253"/>
    <w:rsid w:val="000D4C1E"/>
    <w:rsid w:val="000D6656"/>
    <w:rsid w:val="000D7F6F"/>
    <w:rsid w:val="000E1EF5"/>
    <w:rsid w:val="000E1F4F"/>
    <w:rsid w:val="000E2584"/>
    <w:rsid w:val="000E2DE8"/>
    <w:rsid w:val="000E659E"/>
    <w:rsid w:val="000E7668"/>
    <w:rsid w:val="000F0ABA"/>
    <w:rsid w:val="000F2CD1"/>
    <w:rsid w:val="000F481B"/>
    <w:rsid w:val="000F592A"/>
    <w:rsid w:val="001003BB"/>
    <w:rsid w:val="0010145B"/>
    <w:rsid w:val="0010254D"/>
    <w:rsid w:val="00112BFA"/>
    <w:rsid w:val="00120DDA"/>
    <w:rsid w:val="00122EEF"/>
    <w:rsid w:val="0012426D"/>
    <w:rsid w:val="00124B7F"/>
    <w:rsid w:val="0012750B"/>
    <w:rsid w:val="001320A2"/>
    <w:rsid w:val="0013292A"/>
    <w:rsid w:val="00137057"/>
    <w:rsid w:val="0014122D"/>
    <w:rsid w:val="001417DE"/>
    <w:rsid w:val="001425D8"/>
    <w:rsid w:val="00142D32"/>
    <w:rsid w:val="00142E42"/>
    <w:rsid w:val="00144981"/>
    <w:rsid w:val="00146408"/>
    <w:rsid w:val="001469D3"/>
    <w:rsid w:val="00146B44"/>
    <w:rsid w:val="0015441D"/>
    <w:rsid w:val="00154424"/>
    <w:rsid w:val="001556AA"/>
    <w:rsid w:val="00156C4A"/>
    <w:rsid w:val="00157A26"/>
    <w:rsid w:val="00163259"/>
    <w:rsid w:val="00165975"/>
    <w:rsid w:val="00170086"/>
    <w:rsid w:val="00170318"/>
    <w:rsid w:val="0017075F"/>
    <w:rsid w:val="001715B0"/>
    <w:rsid w:val="00171C8A"/>
    <w:rsid w:val="00171D24"/>
    <w:rsid w:val="0017251A"/>
    <w:rsid w:val="00173259"/>
    <w:rsid w:val="001734FF"/>
    <w:rsid w:val="001757F3"/>
    <w:rsid w:val="0018497B"/>
    <w:rsid w:val="001859EB"/>
    <w:rsid w:val="00185BEE"/>
    <w:rsid w:val="001870BD"/>
    <w:rsid w:val="00190C40"/>
    <w:rsid w:val="001910B5"/>
    <w:rsid w:val="001935A6"/>
    <w:rsid w:val="00195204"/>
    <w:rsid w:val="00196E3F"/>
    <w:rsid w:val="001A02CB"/>
    <w:rsid w:val="001A39A0"/>
    <w:rsid w:val="001A475C"/>
    <w:rsid w:val="001B172C"/>
    <w:rsid w:val="001B2BC9"/>
    <w:rsid w:val="001B77D7"/>
    <w:rsid w:val="001B7A44"/>
    <w:rsid w:val="001C2380"/>
    <w:rsid w:val="001C367F"/>
    <w:rsid w:val="001C445F"/>
    <w:rsid w:val="001C4547"/>
    <w:rsid w:val="001C6590"/>
    <w:rsid w:val="001C7814"/>
    <w:rsid w:val="001D0E2D"/>
    <w:rsid w:val="001D1762"/>
    <w:rsid w:val="001D5D11"/>
    <w:rsid w:val="001E5416"/>
    <w:rsid w:val="001E5CE8"/>
    <w:rsid w:val="001E60BA"/>
    <w:rsid w:val="001E6C3F"/>
    <w:rsid w:val="001F014F"/>
    <w:rsid w:val="001F1A45"/>
    <w:rsid w:val="001F4F5B"/>
    <w:rsid w:val="001F5C2D"/>
    <w:rsid w:val="00200EA1"/>
    <w:rsid w:val="0020344F"/>
    <w:rsid w:val="00203527"/>
    <w:rsid w:val="00205D92"/>
    <w:rsid w:val="00206C9C"/>
    <w:rsid w:val="002108A0"/>
    <w:rsid w:val="00210C30"/>
    <w:rsid w:val="00214406"/>
    <w:rsid w:val="00216F29"/>
    <w:rsid w:val="0022375A"/>
    <w:rsid w:val="00224424"/>
    <w:rsid w:val="002245DF"/>
    <w:rsid w:val="00224AC9"/>
    <w:rsid w:val="002251A4"/>
    <w:rsid w:val="00225F1E"/>
    <w:rsid w:val="00227E59"/>
    <w:rsid w:val="00235187"/>
    <w:rsid w:val="00236B75"/>
    <w:rsid w:val="002414D7"/>
    <w:rsid w:val="002450B0"/>
    <w:rsid w:val="00246F7A"/>
    <w:rsid w:val="002475D2"/>
    <w:rsid w:val="002476F8"/>
    <w:rsid w:val="00253C6C"/>
    <w:rsid w:val="00253CB8"/>
    <w:rsid w:val="00260069"/>
    <w:rsid w:val="00265DAE"/>
    <w:rsid w:val="002669DB"/>
    <w:rsid w:val="00272E35"/>
    <w:rsid w:val="00272E49"/>
    <w:rsid w:val="002731AD"/>
    <w:rsid w:val="00274FEE"/>
    <w:rsid w:val="00275E6F"/>
    <w:rsid w:val="00275F5F"/>
    <w:rsid w:val="002764F5"/>
    <w:rsid w:val="002770B3"/>
    <w:rsid w:val="0028069F"/>
    <w:rsid w:val="0028232E"/>
    <w:rsid w:val="0028281D"/>
    <w:rsid w:val="002828B0"/>
    <w:rsid w:val="00284BB5"/>
    <w:rsid w:val="00284F0C"/>
    <w:rsid w:val="002871FB"/>
    <w:rsid w:val="00290E6F"/>
    <w:rsid w:val="002910ED"/>
    <w:rsid w:val="00293313"/>
    <w:rsid w:val="0029346F"/>
    <w:rsid w:val="00296D11"/>
    <w:rsid w:val="002A1305"/>
    <w:rsid w:val="002A1806"/>
    <w:rsid w:val="002A1A7D"/>
    <w:rsid w:val="002A6797"/>
    <w:rsid w:val="002B4B30"/>
    <w:rsid w:val="002B4BB4"/>
    <w:rsid w:val="002C06B8"/>
    <w:rsid w:val="002C0D5E"/>
    <w:rsid w:val="002C6032"/>
    <w:rsid w:val="002C7449"/>
    <w:rsid w:val="002D0B22"/>
    <w:rsid w:val="002D6D53"/>
    <w:rsid w:val="002D7AF6"/>
    <w:rsid w:val="002E321E"/>
    <w:rsid w:val="002E78E5"/>
    <w:rsid w:val="002F2915"/>
    <w:rsid w:val="002F4A92"/>
    <w:rsid w:val="002F545D"/>
    <w:rsid w:val="002F6F68"/>
    <w:rsid w:val="002F6F89"/>
    <w:rsid w:val="002F7244"/>
    <w:rsid w:val="0030276F"/>
    <w:rsid w:val="003072F0"/>
    <w:rsid w:val="00310D78"/>
    <w:rsid w:val="00311FCB"/>
    <w:rsid w:val="0031461B"/>
    <w:rsid w:val="003158E1"/>
    <w:rsid w:val="00315983"/>
    <w:rsid w:val="00315A9A"/>
    <w:rsid w:val="00315C71"/>
    <w:rsid w:val="003162D2"/>
    <w:rsid w:val="0031646E"/>
    <w:rsid w:val="00316CC7"/>
    <w:rsid w:val="00317971"/>
    <w:rsid w:val="00317F0E"/>
    <w:rsid w:val="00321230"/>
    <w:rsid w:val="003229F8"/>
    <w:rsid w:val="0032477D"/>
    <w:rsid w:val="0032540A"/>
    <w:rsid w:val="003270DD"/>
    <w:rsid w:val="00330DA0"/>
    <w:rsid w:val="0033175D"/>
    <w:rsid w:val="00335AE8"/>
    <w:rsid w:val="0033773C"/>
    <w:rsid w:val="003428E9"/>
    <w:rsid w:val="003429C9"/>
    <w:rsid w:val="00344F8C"/>
    <w:rsid w:val="003518BB"/>
    <w:rsid w:val="003527FC"/>
    <w:rsid w:val="00353178"/>
    <w:rsid w:val="0035554B"/>
    <w:rsid w:val="00355ACD"/>
    <w:rsid w:val="00355F2D"/>
    <w:rsid w:val="00356DDB"/>
    <w:rsid w:val="003576E7"/>
    <w:rsid w:val="00364555"/>
    <w:rsid w:val="00364ABD"/>
    <w:rsid w:val="003702EC"/>
    <w:rsid w:val="003710A7"/>
    <w:rsid w:val="00372567"/>
    <w:rsid w:val="00374C6B"/>
    <w:rsid w:val="00383749"/>
    <w:rsid w:val="0038385D"/>
    <w:rsid w:val="0038393B"/>
    <w:rsid w:val="00383966"/>
    <w:rsid w:val="00383C17"/>
    <w:rsid w:val="00384496"/>
    <w:rsid w:val="00391252"/>
    <w:rsid w:val="00392C17"/>
    <w:rsid w:val="00392E00"/>
    <w:rsid w:val="003948E4"/>
    <w:rsid w:val="00394BBF"/>
    <w:rsid w:val="00397141"/>
    <w:rsid w:val="003A0B2C"/>
    <w:rsid w:val="003A0C55"/>
    <w:rsid w:val="003A7C43"/>
    <w:rsid w:val="003B0946"/>
    <w:rsid w:val="003B1B33"/>
    <w:rsid w:val="003B20E5"/>
    <w:rsid w:val="003B32BB"/>
    <w:rsid w:val="003B3A84"/>
    <w:rsid w:val="003B3D7E"/>
    <w:rsid w:val="003B45F0"/>
    <w:rsid w:val="003B6FE0"/>
    <w:rsid w:val="003C056C"/>
    <w:rsid w:val="003C3835"/>
    <w:rsid w:val="003C4D92"/>
    <w:rsid w:val="003C6FF0"/>
    <w:rsid w:val="003D182D"/>
    <w:rsid w:val="003D2EF8"/>
    <w:rsid w:val="003D31C0"/>
    <w:rsid w:val="003D39AC"/>
    <w:rsid w:val="003D55B2"/>
    <w:rsid w:val="003D66E7"/>
    <w:rsid w:val="003D6B4E"/>
    <w:rsid w:val="003D764B"/>
    <w:rsid w:val="003E1144"/>
    <w:rsid w:val="003E1147"/>
    <w:rsid w:val="003E1DB9"/>
    <w:rsid w:val="003E3603"/>
    <w:rsid w:val="003E3C56"/>
    <w:rsid w:val="003E789E"/>
    <w:rsid w:val="003F20F8"/>
    <w:rsid w:val="003F3C6D"/>
    <w:rsid w:val="0040209B"/>
    <w:rsid w:val="00402163"/>
    <w:rsid w:val="00402946"/>
    <w:rsid w:val="00406BC0"/>
    <w:rsid w:val="0040720C"/>
    <w:rsid w:val="004076DF"/>
    <w:rsid w:val="00410619"/>
    <w:rsid w:val="004112AB"/>
    <w:rsid w:val="00411764"/>
    <w:rsid w:val="00411F37"/>
    <w:rsid w:val="00412127"/>
    <w:rsid w:val="00412246"/>
    <w:rsid w:val="0041242D"/>
    <w:rsid w:val="00421711"/>
    <w:rsid w:val="004218B1"/>
    <w:rsid w:val="00422B25"/>
    <w:rsid w:val="004230AB"/>
    <w:rsid w:val="004234DD"/>
    <w:rsid w:val="004235A8"/>
    <w:rsid w:val="00423A2F"/>
    <w:rsid w:val="00424670"/>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3615"/>
    <w:rsid w:val="004565D3"/>
    <w:rsid w:val="00457F39"/>
    <w:rsid w:val="0046193C"/>
    <w:rsid w:val="004643F6"/>
    <w:rsid w:val="00465BEC"/>
    <w:rsid w:val="00466D27"/>
    <w:rsid w:val="00467B75"/>
    <w:rsid w:val="00467C57"/>
    <w:rsid w:val="00470DC3"/>
    <w:rsid w:val="0047131C"/>
    <w:rsid w:val="0047512F"/>
    <w:rsid w:val="004760B4"/>
    <w:rsid w:val="00485442"/>
    <w:rsid w:val="0049161F"/>
    <w:rsid w:val="0049228D"/>
    <w:rsid w:val="00493486"/>
    <w:rsid w:val="004951EC"/>
    <w:rsid w:val="004959D4"/>
    <w:rsid w:val="00497F55"/>
    <w:rsid w:val="004A2008"/>
    <w:rsid w:val="004A2A0A"/>
    <w:rsid w:val="004A5C56"/>
    <w:rsid w:val="004A66B8"/>
    <w:rsid w:val="004B01A3"/>
    <w:rsid w:val="004B4242"/>
    <w:rsid w:val="004B760E"/>
    <w:rsid w:val="004C0D18"/>
    <w:rsid w:val="004C1902"/>
    <w:rsid w:val="004C5B1C"/>
    <w:rsid w:val="004C66EA"/>
    <w:rsid w:val="004D0015"/>
    <w:rsid w:val="004D1F00"/>
    <w:rsid w:val="004D6159"/>
    <w:rsid w:val="004D7469"/>
    <w:rsid w:val="004E5CE6"/>
    <w:rsid w:val="004F1642"/>
    <w:rsid w:val="004F1A9A"/>
    <w:rsid w:val="004F6D4A"/>
    <w:rsid w:val="004F7145"/>
    <w:rsid w:val="004F7CFB"/>
    <w:rsid w:val="0050154F"/>
    <w:rsid w:val="00501AB9"/>
    <w:rsid w:val="00506CBB"/>
    <w:rsid w:val="0051049C"/>
    <w:rsid w:val="00515F7D"/>
    <w:rsid w:val="00516228"/>
    <w:rsid w:val="00517B73"/>
    <w:rsid w:val="0052228C"/>
    <w:rsid w:val="005223AE"/>
    <w:rsid w:val="005229EC"/>
    <w:rsid w:val="00522A32"/>
    <w:rsid w:val="00523B93"/>
    <w:rsid w:val="00523DD8"/>
    <w:rsid w:val="0052786E"/>
    <w:rsid w:val="005319A4"/>
    <w:rsid w:val="00535FCC"/>
    <w:rsid w:val="005361C0"/>
    <w:rsid w:val="0053792D"/>
    <w:rsid w:val="005426EF"/>
    <w:rsid w:val="00544924"/>
    <w:rsid w:val="00545A9F"/>
    <w:rsid w:val="00546E2B"/>
    <w:rsid w:val="00547004"/>
    <w:rsid w:val="00550755"/>
    <w:rsid w:val="00551B8C"/>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3E57"/>
    <w:rsid w:val="00574EB3"/>
    <w:rsid w:val="00574FA6"/>
    <w:rsid w:val="00575559"/>
    <w:rsid w:val="005819FD"/>
    <w:rsid w:val="005820ED"/>
    <w:rsid w:val="00582CA2"/>
    <w:rsid w:val="0058673D"/>
    <w:rsid w:val="00593E50"/>
    <w:rsid w:val="00595C82"/>
    <w:rsid w:val="005960A5"/>
    <w:rsid w:val="00597BA1"/>
    <w:rsid w:val="005A129B"/>
    <w:rsid w:val="005A235C"/>
    <w:rsid w:val="005A749F"/>
    <w:rsid w:val="005B1EB9"/>
    <w:rsid w:val="005B36BE"/>
    <w:rsid w:val="005B3FB4"/>
    <w:rsid w:val="005C0339"/>
    <w:rsid w:val="005C0B1D"/>
    <w:rsid w:val="005C14D7"/>
    <w:rsid w:val="005C1E24"/>
    <w:rsid w:val="005C22F9"/>
    <w:rsid w:val="005C36EC"/>
    <w:rsid w:val="005C3BB0"/>
    <w:rsid w:val="005D1817"/>
    <w:rsid w:val="005D1954"/>
    <w:rsid w:val="005E27DA"/>
    <w:rsid w:val="005E5125"/>
    <w:rsid w:val="005F02BE"/>
    <w:rsid w:val="005F4FB8"/>
    <w:rsid w:val="005F5FF9"/>
    <w:rsid w:val="005F6CCF"/>
    <w:rsid w:val="005F79FC"/>
    <w:rsid w:val="00603EB3"/>
    <w:rsid w:val="00603FF8"/>
    <w:rsid w:val="00604D8F"/>
    <w:rsid w:val="00607DF6"/>
    <w:rsid w:val="0061642C"/>
    <w:rsid w:val="00620EB4"/>
    <w:rsid w:val="00621BB6"/>
    <w:rsid w:val="00623952"/>
    <w:rsid w:val="00624CC8"/>
    <w:rsid w:val="00625BA4"/>
    <w:rsid w:val="0063022F"/>
    <w:rsid w:val="00634AE0"/>
    <w:rsid w:val="00634ECF"/>
    <w:rsid w:val="0063563D"/>
    <w:rsid w:val="006378F8"/>
    <w:rsid w:val="006410F5"/>
    <w:rsid w:val="0064305E"/>
    <w:rsid w:val="00644AC3"/>
    <w:rsid w:val="0064781F"/>
    <w:rsid w:val="006512ED"/>
    <w:rsid w:val="00654EE3"/>
    <w:rsid w:val="0065695B"/>
    <w:rsid w:val="00656966"/>
    <w:rsid w:val="0066131E"/>
    <w:rsid w:val="00664092"/>
    <w:rsid w:val="00664B5A"/>
    <w:rsid w:val="0066568F"/>
    <w:rsid w:val="00667A7B"/>
    <w:rsid w:val="00672606"/>
    <w:rsid w:val="00672867"/>
    <w:rsid w:val="00672D57"/>
    <w:rsid w:val="0067374C"/>
    <w:rsid w:val="006743CF"/>
    <w:rsid w:val="00677577"/>
    <w:rsid w:val="00684DF8"/>
    <w:rsid w:val="0068552F"/>
    <w:rsid w:val="0069442A"/>
    <w:rsid w:val="006963B3"/>
    <w:rsid w:val="006A154D"/>
    <w:rsid w:val="006A1EBF"/>
    <w:rsid w:val="006A39F9"/>
    <w:rsid w:val="006A457A"/>
    <w:rsid w:val="006A5001"/>
    <w:rsid w:val="006A6313"/>
    <w:rsid w:val="006B3FAA"/>
    <w:rsid w:val="006B49ED"/>
    <w:rsid w:val="006B5383"/>
    <w:rsid w:val="006B53AB"/>
    <w:rsid w:val="006B7578"/>
    <w:rsid w:val="006C20D9"/>
    <w:rsid w:val="006C2678"/>
    <w:rsid w:val="006C326D"/>
    <w:rsid w:val="006C4410"/>
    <w:rsid w:val="006C4709"/>
    <w:rsid w:val="006C5549"/>
    <w:rsid w:val="006C5A72"/>
    <w:rsid w:val="006C5C63"/>
    <w:rsid w:val="006D2B69"/>
    <w:rsid w:val="006D4DC5"/>
    <w:rsid w:val="006E06A6"/>
    <w:rsid w:val="006E0B62"/>
    <w:rsid w:val="006E41BE"/>
    <w:rsid w:val="006E51A6"/>
    <w:rsid w:val="006E521B"/>
    <w:rsid w:val="006E7002"/>
    <w:rsid w:val="006F0112"/>
    <w:rsid w:val="006F03CE"/>
    <w:rsid w:val="006F0AF3"/>
    <w:rsid w:val="006F21F8"/>
    <w:rsid w:val="006F28DD"/>
    <w:rsid w:val="006F4001"/>
    <w:rsid w:val="006F4408"/>
    <w:rsid w:val="006F7B5B"/>
    <w:rsid w:val="00705184"/>
    <w:rsid w:val="0070523D"/>
    <w:rsid w:val="0070680C"/>
    <w:rsid w:val="007074BF"/>
    <w:rsid w:val="00711AC2"/>
    <w:rsid w:val="00716E6A"/>
    <w:rsid w:val="00717844"/>
    <w:rsid w:val="00723928"/>
    <w:rsid w:val="00725246"/>
    <w:rsid w:val="0073024F"/>
    <w:rsid w:val="00731983"/>
    <w:rsid w:val="007322B5"/>
    <w:rsid w:val="00733F6B"/>
    <w:rsid w:val="00734477"/>
    <w:rsid w:val="007367F3"/>
    <w:rsid w:val="00736890"/>
    <w:rsid w:val="0073765C"/>
    <w:rsid w:val="00740C43"/>
    <w:rsid w:val="00743260"/>
    <w:rsid w:val="007474D9"/>
    <w:rsid w:val="00750359"/>
    <w:rsid w:val="00754307"/>
    <w:rsid w:val="007566AC"/>
    <w:rsid w:val="00761722"/>
    <w:rsid w:val="007651B0"/>
    <w:rsid w:val="00767AA2"/>
    <w:rsid w:val="007714E9"/>
    <w:rsid w:val="0077319D"/>
    <w:rsid w:val="007732AF"/>
    <w:rsid w:val="0077495D"/>
    <w:rsid w:val="00780C8D"/>
    <w:rsid w:val="0078103D"/>
    <w:rsid w:val="0078145F"/>
    <w:rsid w:val="007819EB"/>
    <w:rsid w:val="007830D2"/>
    <w:rsid w:val="0078628B"/>
    <w:rsid w:val="0079342A"/>
    <w:rsid w:val="00796569"/>
    <w:rsid w:val="00796B64"/>
    <w:rsid w:val="0079740D"/>
    <w:rsid w:val="007A0E2E"/>
    <w:rsid w:val="007A4F25"/>
    <w:rsid w:val="007A7231"/>
    <w:rsid w:val="007A73AB"/>
    <w:rsid w:val="007B3BC9"/>
    <w:rsid w:val="007B4A52"/>
    <w:rsid w:val="007C1F3D"/>
    <w:rsid w:val="007C3AA8"/>
    <w:rsid w:val="007C577C"/>
    <w:rsid w:val="007C5C0C"/>
    <w:rsid w:val="007C6811"/>
    <w:rsid w:val="007C6986"/>
    <w:rsid w:val="007D0943"/>
    <w:rsid w:val="007D0AD5"/>
    <w:rsid w:val="007D5D19"/>
    <w:rsid w:val="007D6F39"/>
    <w:rsid w:val="007E1679"/>
    <w:rsid w:val="007E3C3B"/>
    <w:rsid w:val="007E710D"/>
    <w:rsid w:val="007F0F0C"/>
    <w:rsid w:val="007F6F64"/>
    <w:rsid w:val="00802C4F"/>
    <w:rsid w:val="00805DAF"/>
    <w:rsid w:val="00814F65"/>
    <w:rsid w:val="00817A83"/>
    <w:rsid w:val="0082026A"/>
    <w:rsid w:val="008218FF"/>
    <w:rsid w:val="00822579"/>
    <w:rsid w:val="0082296C"/>
    <w:rsid w:val="008241A1"/>
    <w:rsid w:val="00825F89"/>
    <w:rsid w:val="008307C0"/>
    <w:rsid w:val="0083511B"/>
    <w:rsid w:val="00835F3A"/>
    <w:rsid w:val="00841F4B"/>
    <w:rsid w:val="00842273"/>
    <w:rsid w:val="0084259A"/>
    <w:rsid w:val="00842EF6"/>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B47"/>
    <w:rsid w:val="00860B5D"/>
    <w:rsid w:val="00861788"/>
    <w:rsid w:val="00862593"/>
    <w:rsid w:val="00862942"/>
    <w:rsid w:val="00862DFD"/>
    <w:rsid w:val="00863F05"/>
    <w:rsid w:val="00864187"/>
    <w:rsid w:val="00867E0F"/>
    <w:rsid w:val="008710D8"/>
    <w:rsid w:val="00871CC8"/>
    <w:rsid w:val="00872BAA"/>
    <w:rsid w:val="00877538"/>
    <w:rsid w:val="0088352B"/>
    <w:rsid w:val="008855AB"/>
    <w:rsid w:val="00885C28"/>
    <w:rsid w:val="00885D76"/>
    <w:rsid w:val="00887594"/>
    <w:rsid w:val="0089046A"/>
    <w:rsid w:val="00890F2B"/>
    <w:rsid w:val="0089286A"/>
    <w:rsid w:val="008940C5"/>
    <w:rsid w:val="008944AE"/>
    <w:rsid w:val="008A0676"/>
    <w:rsid w:val="008A1B8E"/>
    <w:rsid w:val="008A29F4"/>
    <w:rsid w:val="008A37A9"/>
    <w:rsid w:val="008B131C"/>
    <w:rsid w:val="008B1B85"/>
    <w:rsid w:val="008B273A"/>
    <w:rsid w:val="008B3185"/>
    <w:rsid w:val="008C071A"/>
    <w:rsid w:val="008C7EAC"/>
    <w:rsid w:val="008D1507"/>
    <w:rsid w:val="008D1D8E"/>
    <w:rsid w:val="008D49E1"/>
    <w:rsid w:val="008D6927"/>
    <w:rsid w:val="008D70F5"/>
    <w:rsid w:val="008E018D"/>
    <w:rsid w:val="008E0BAF"/>
    <w:rsid w:val="008E1F24"/>
    <w:rsid w:val="008E2958"/>
    <w:rsid w:val="008E2BA2"/>
    <w:rsid w:val="008E3BEF"/>
    <w:rsid w:val="008E71DA"/>
    <w:rsid w:val="008F00F2"/>
    <w:rsid w:val="008F2BED"/>
    <w:rsid w:val="008F4121"/>
    <w:rsid w:val="008F5D33"/>
    <w:rsid w:val="008F6B90"/>
    <w:rsid w:val="008F6F9B"/>
    <w:rsid w:val="008F75BC"/>
    <w:rsid w:val="00903CF9"/>
    <w:rsid w:val="009040A0"/>
    <w:rsid w:val="0090552F"/>
    <w:rsid w:val="009065DE"/>
    <w:rsid w:val="00907E8E"/>
    <w:rsid w:val="00907FD2"/>
    <w:rsid w:val="00910F0D"/>
    <w:rsid w:val="00911AA6"/>
    <w:rsid w:val="0091374C"/>
    <w:rsid w:val="009159D8"/>
    <w:rsid w:val="00923E25"/>
    <w:rsid w:val="00924D8D"/>
    <w:rsid w:val="00926C8E"/>
    <w:rsid w:val="00927233"/>
    <w:rsid w:val="009306D4"/>
    <w:rsid w:val="0093084D"/>
    <w:rsid w:val="00931CD6"/>
    <w:rsid w:val="009327FD"/>
    <w:rsid w:val="00934224"/>
    <w:rsid w:val="00937A9E"/>
    <w:rsid w:val="00943C4C"/>
    <w:rsid w:val="009471ED"/>
    <w:rsid w:val="00950100"/>
    <w:rsid w:val="00950E1F"/>
    <w:rsid w:val="00953392"/>
    <w:rsid w:val="00953F72"/>
    <w:rsid w:val="00954046"/>
    <w:rsid w:val="009548FE"/>
    <w:rsid w:val="00954E64"/>
    <w:rsid w:val="00961ABF"/>
    <w:rsid w:val="009621B8"/>
    <w:rsid w:val="00962A6E"/>
    <w:rsid w:val="00967CD1"/>
    <w:rsid w:val="00970B7C"/>
    <w:rsid w:val="00972511"/>
    <w:rsid w:val="00977A15"/>
    <w:rsid w:val="00984C67"/>
    <w:rsid w:val="0098646D"/>
    <w:rsid w:val="009928CB"/>
    <w:rsid w:val="009953B3"/>
    <w:rsid w:val="009A3AE7"/>
    <w:rsid w:val="009A5F64"/>
    <w:rsid w:val="009A6B0B"/>
    <w:rsid w:val="009A71F1"/>
    <w:rsid w:val="009A78B0"/>
    <w:rsid w:val="009B04A0"/>
    <w:rsid w:val="009B0A24"/>
    <w:rsid w:val="009B3041"/>
    <w:rsid w:val="009B3777"/>
    <w:rsid w:val="009B51A1"/>
    <w:rsid w:val="009B78CF"/>
    <w:rsid w:val="009C046F"/>
    <w:rsid w:val="009C36A0"/>
    <w:rsid w:val="009C45DF"/>
    <w:rsid w:val="009C5368"/>
    <w:rsid w:val="009D2C05"/>
    <w:rsid w:val="009D473E"/>
    <w:rsid w:val="009D66F8"/>
    <w:rsid w:val="009D6C63"/>
    <w:rsid w:val="009E0446"/>
    <w:rsid w:val="009E2DCD"/>
    <w:rsid w:val="009E3E31"/>
    <w:rsid w:val="009E6CC6"/>
    <w:rsid w:val="009F11D0"/>
    <w:rsid w:val="009F1776"/>
    <w:rsid w:val="009F1987"/>
    <w:rsid w:val="009F1AC5"/>
    <w:rsid w:val="009F226D"/>
    <w:rsid w:val="009F44B5"/>
    <w:rsid w:val="009F57C3"/>
    <w:rsid w:val="009F62DE"/>
    <w:rsid w:val="009F787A"/>
    <w:rsid w:val="009F78E4"/>
    <w:rsid w:val="00A0129B"/>
    <w:rsid w:val="00A03447"/>
    <w:rsid w:val="00A03AB9"/>
    <w:rsid w:val="00A03FA9"/>
    <w:rsid w:val="00A06BD5"/>
    <w:rsid w:val="00A10376"/>
    <w:rsid w:val="00A10644"/>
    <w:rsid w:val="00A10CA5"/>
    <w:rsid w:val="00A11AA3"/>
    <w:rsid w:val="00A127F6"/>
    <w:rsid w:val="00A14E54"/>
    <w:rsid w:val="00A1733A"/>
    <w:rsid w:val="00A230A4"/>
    <w:rsid w:val="00A24164"/>
    <w:rsid w:val="00A257AA"/>
    <w:rsid w:val="00A25FD1"/>
    <w:rsid w:val="00A3012A"/>
    <w:rsid w:val="00A30165"/>
    <w:rsid w:val="00A31DFE"/>
    <w:rsid w:val="00A3212E"/>
    <w:rsid w:val="00A3316D"/>
    <w:rsid w:val="00A34C9F"/>
    <w:rsid w:val="00A4094A"/>
    <w:rsid w:val="00A4198D"/>
    <w:rsid w:val="00A43825"/>
    <w:rsid w:val="00A43AB2"/>
    <w:rsid w:val="00A46184"/>
    <w:rsid w:val="00A47174"/>
    <w:rsid w:val="00A50182"/>
    <w:rsid w:val="00A53D06"/>
    <w:rsid w:val="00A55B88"/>
    <w:rsid w:val="00A5679F"/>
    <w:rsid w:val="00A57E44"/>
    <w:rsid w:val="00A604EE"/>
    <w:rsid w:val="00A61E6B"/>
    <w:rsid w:val="00A6631E"/>
    <w:rsid w:val="00A67E4E"/>
    <w:rsid w:val="00A70382"/>
    <w:rsid w:val="00A7128D"/>
    <w:rsid w:val="00A71644"/>
    <w:rsid w:val="00A72B81"/>
    <w:rsid w:val="00A76FA9"/>
    <w:rsid w:val="00A80A5B"/>
    <w:rsid w:val="00A8278F"/>
    <w:rsid w:val="00A829E7"/>
    <w:rsid w:val="00A87960"/>
    <w:rsid w:val="00A92109"/>
    <w:rsid w:val="00A92B76"/>
    <w:rsid w:val="00A946C1"/>
    <w:rsid w:val="00A9563B"/>
    <w:rsid w:val="00A97ECB"/>
    <w:rsid w:val="00AA363F"/>
    <w:rsid w:val="00AA3B50"/>
    <w:rsid w:val="00AA402E"/>
    <w:rsid w:val="00AB05B5"/>
    <w:rsid w:val="00AB3B95"/>
    <w:rsid w:val="00AB41D1"/>
    <w:rsid w:val="00AB4614"/>
    <w:rsid w:val="00AB6848"/>
    <w:rsid w:val="00AC2569"/>
    <w:rsid w:val="00AC607C"/>
    <w:rsid w:val="00AD004F"/>
    <w:rsid w:val="00AD1124"/>
    <w:rsid w:val="00AD137F"/>
    <w:rsid w:val="00AD20B4"/>
    <w:rsid w:val="00AD4337"/>
    <w:rsid w:val="00AD5DB8"/>
    <w:rsid w:val="00AD60E9"/>
    <w:rsid w:val="00AE1091"/>
    <w:rsid w:val="00AE2523"/>
    <w:rsid w:val="00AE34AA"/>
    <w:rsid w:val="00AE58D1"/>
    <w:rsid w:val="00AE6E53"/>
    <w:rsid w:val="00AF155F"/>
    <w:rsid w:val="00AF1DA1"/>
    <w:rsid w:val="00AF2933"/>
    <w:rsid w:val="00AF4AEA"/>
    <w:rsid w:val="00AF5E64"/>
    <w:rsid w:val="00AF6605"/>
    <w:rsid w:val="00B01850"/>
    <w:rsid w:val="00B0296B"/>
    <w:rsid w:val="00B04830"/>
    <w:rsid w:val="00B0665D"/>
    <w:rsid w:val="00B077AE"/>
    <w:rsid w:val="00B12863"/>
    <w:rsid w:val="00B135F9"/>
    <w:rsid w:val="00B144A1"/>
    <w:rsid w:val="00B17DE1"/>
    <w:rsid w:val="00B22094"/>
    <w:rsid w:val="00B26F44"/>
    <w:rsid w:val="00B27799"/>
    <w:rsid w:val="00B27BF8"/>
    <w:rsid w:val="00B30F22"/>
    <w:rsid w:val="00B315FA"/>
    <w:rsid w:val="00B31C0E"/>
    <w:rsid w:val="00B34469"/>
    <w:rsid w:val="00B37576"/>
    <w:rsid w:val="00B4733B"/>
    <w:rsid w:val="00B5110A"/>
    <w:rsid w:val="00B51186"/>
    <w:rsid w:val="00B52102"/>
    <w:rsid w:val="00B5330A"/>
    <w:rsid w:val="00B54373"/>
    <w:rsid w:val="00B56CC9"/>
    <w:rsid w:val="00B60C2F"/>
    <w:rsid w:val="00B6460A"/>
    <w:rsid w:val="00B64C5B"/>
    <w:rsid w:val="00B65C75"/>
    <w:rsid w:val="00B67B0D"/>
    <w:rsid w:val="00B67BE6"/>
    <w:rsid w:val="00B7118E"/>
    <w:rsid w:val="00B71ABE"/>
    <w:rsid w:val="00B72FA8"/>
    <w:rsid w:val="00B737EA"/>
    <w:rsid w:val="00B73C61"/>
    <w:rsid w:val="00B750AE"/>
    <w:rsid w:val="00B80A8F"/>
    <w:rsid w:val="00B81E10"/>
    <w:rsid w:val="00B82863"/>
    <w:rsid w:val="00B82D3F"/>
    <w:rsid w:val="00B831FE"/>
    <w:rsid w:val="00B84B43"/>
    <w:rsid w:val="00B93F1C"/>
    <w:rsid w:val="00B954BE"/>
    <w:rsid w:val="00B97EA5"/>
    <w:rsid w:val="00BA1D75"/>
    <w:rsid w:val="00BA41DF"/>
    <w:rsid w:val="00BA4CB5"/>
    <w:rsid w:val="00BA5D9B"/>
    <w:rsid w:val="00BB2EA1"/>
    <w:rsid w:val="00BB3BC5"/>
    <w:rsid w:val="00BC0766"/>
    <w:rsid w:val="00BC308A"/>
    <w:rsid w:val="00BC431F"/>
    <w:rsid w:val="00BC5F4C"/>
    <w:rsid w:val="00BD3A87"/>
    <w:rsid w:val="00BD5BAC"/>
    <w:rsid w:val="00BE0B72"/>
    <w:rsid w:val="00BE2F54"/>
    <w:rsid w:val="00BE418B"/>
    <w:rsid w:val="00BE71F8"/>
    <w:rsid w:val="00BE76FF"/>
    <w:rsid w:val="00BF0B4F"/>
    <w:rsid w:val="00BF2FF1"/>
    <w:rsid w:val="00BF7239"/>
    <w:rsid w:val="00C01BF1"/>
    <w:rsid w:val="00C01C59"/>
    <w:rsid w:val="00C02850"/>
    <w:rsid w:val="00C03ACD"/>
    <w:rsid w:val="00C06DB1"/>
    <w:rsid w:val="00C07EDB"/>
    <w:rsid w:val="00C11DEB"/>
    <w:rsid w:val="00C128E5"/>
    <w:rsid w:val="00C16A58"/>
    <w:rsid w:val="00C1761B"/>
    <w:rsid w:val="00C20221"/>
    <w:rsid w:val="00C21656"/>
    <w:rsid w:val="00C221F7"/>
    <w:rsid w:val="00C237FB"/>
    <w:rsid w:val="00C243E5"/>
    <w:rsid w:val="00C25307"/>
    <w:rsid w:val="00C31030"/>
    <w:rsid w:val="00C346CB"/>
    <w:rsid w:val="00C34F6C"/>
    <w:rsid w:val="00C377C7"/>
    <w:rsid w:val="00C42187"/>
    <w:rsid w:val="00C471A8"/>
    <w:rsid w:val="00C477CB"/>
    <w:rsid w:val="00C50235"/>
    <w:rsid w:val="00C510E6"/>
    <w:rsid w:val="00C51C56"/>
    <w:rsid w:val="00C56FBB"/>
    <w:rsid w:val="00C60C0D"/>
    <w:rsid w:val="00C6637C"/>
    <w:rsid w:val="00C6699B"/>
    <w:rsid w:val="00C678B8"/>
    <w:rsid w:val="00C67D55"/>
    <w:rsid w:val="00C70C15"/>
    <w:rsid w:val="00C71137"/>
    <w:rsid w:val="00C73C24"/>
    <w:rsid w:val="00C805F1"/>
    <w:rsid w:val="00C820BE"/>
    <w:rsid w:val="00C82868"/>
    <w:rsid w:val="00C8423E"/>
    <w:rsid w:val="00C84D64"/>
    <w:rsid w:val="00C85469"/>
    <w:rsid w:val="00C86938"/>
    <w:rsid w:val="00C87A32"/>
    <w:rsid w:val="00C9323A"/>
    <w:rsid w:val="00C93419"/>
    <w:rsid w:val="00C951B1"/>
    <w:rsid w:val="00C96CB4"/>
    <w:rsid w:val="00C97898"/>
    <w:rsid w:val="00CA1309"/>
    <w:rsid w:val="00CA268A"/>
    <w:rsid w:val="00CA2BA3"/>
    <w:rsid w:val="00CA7E81"/>
    <w:rsid w:val="00CB00FF"/>
    <w:rsid w:val="00CB08D9"/>
    <w:rsid w:val="00CB2B3E"/>
    <w:rsid w:val="00CB4D1C"/>
    <w:rsid w:val="00CC1303"/>
    <w:rsid w:val="00CC1E84"/>
    <w:rsid w:val="00CC27CA"/>
    <w:rsid w:val="00CC317E"/>
    <w:rsid w:val="00CC341E"/>
    <w:rsid w:val="00CC6D4C"/>
    <w:rsid w:val="00CD09C4"/>
    <w:rsid w:val="00CD2CF5"/>
    <w:rsid w:val="00CD45F7"/>
    <w:rsid w:val="00CE13A3"/>
    <w:rsid w:val="00CE6F52"/>
    <w:rsid w:val="00CE7989"/>
    <w:rsid w:val="00CE7A37"/>
    <w:rsid w:val="00CF1415"/>
    <w:rsid w:val="00CF1747"/>
    <w:rsid w:val="00CF380A"/>
    <w:rsid w:val="00CF3C26"/>
    <w:rsid w:val="00CF3EB1"/>
    <w:rsid w:val="00CF4083"/>
    <w:rsid w:val="00CF4839"/>
    <w:rsid w:val="00CF4CAF"/>
    <w:rsid w:val="00CF58D2"/>
    <w:rsid w:val="00CF5EF7"/>
    <w:rsid w:val="00D00642"/>
    <w:rsid w:val="00D0483A"/>
    <w:rsid w:val="00D065D8"/>
    <w:rsid w:val="00D1000D"/>
    <w:rsid w:val="00D10439"/>
    <w:rsid w:val="00D11182"/>
    <w:rsid w:val="00D13D22"/>
    <w:rsid w:val="00D14F4B"/>
    <w:rsid w:val="00D15A4A"/>
    <w:rsid w:val="00D2180D"/>
    <w:rsid w:val="00D2182B"/>
    <w:rsid w:val="00D21CE8"/>
    <w:rsid w:val="00D22C43"/>
    <w:rsid w:val="00D236FB"/>
    <w:rsid w:val="00D31719"/>
    <w:rsid w:val="00D3215D"/>
    <w:rsid w:val="00D41A8B"/>
    <w:rsid w:val="00D4219F"/>
    <w:rsid w:val="00D42EF4"/>
    <w:rsid w:val="00D436AD"/>
    <w:rsid w:val="00D43D38"/>
    <w:rsid w:val="00D43E2C"/>
    <w:rsid w:val="00D445A4"/>
    <w:rsid w:val="00D45369"/>
    <w:rsid w:val="00D45E63"/>
    <w:rsid w:val="00D50591"/>
    <w:rsid w:val="00D5210A"/>
    <w:rsid w:val="00D568CF"/>
    <w:rsid w:val="00D61AD1"/>
    <w:rsid w:val="00D61B28"/>
    <w:rsid w:val="00D63154"/>
    <w:rsid w:val="00D63275"/>
    <w:rsid w:val="00D63BAA"/>
    <w:rsid w:val="00D644D4"/>
    <w:rsid w:val="00D64865"/>
    <w:rsid w:val="00D708C5"/>
    <w:rsid w:val="00D710CA"/>
    <w:rsid w:val="00D71EC6"/>
    <w:rsid w:val="00D72422"/>
    <w:rsid w:val="00D74642"/>
    <w:rsid w:val="00D75159"/>
    <w:rsid w:val="00D81351"/>
    <w:rsid w:val="00D82952"/>
    <w:rsid w:val="00D84625"/>
    <w:rsid w:val="00D85055"/>
    <w:rsid w:val="00D869A9"/>
    <w:rsid w:val="00D90CA7"/>
    <w:rsid w:val="00D91751"/>
    <w:rsid w:val="00D93C26"/>
    <w:rsid w:val="00D93C97"/>
    <w:rsid w:val="00D94AD5"/>
    <w:rsid w:val="00D95A30"/>
    <w:rsid w:val="00D97B71"/>
    <w:rsid w:val="00DA2B3F"/>
    <w:rsid w:val="00DA2B63"/>
    <w:rsid w:val="00DA4E55"/>
    <w:rsid w:val="00DA5851"/>
    <w:rsid w:val="00DA59C2"/>
    <w:rsid w:val="00DA6CEC"/>
    <w:rsid w:val="00DA7973"/>
    <w:rsid w:val="00DA7DE8"/>
    <w:rsid w:val="00DB4517"/>
    <w:rsid w:val="00DB4754"/>
    <w:rsid w:val="00DB4F1E"/>
    <w:rsid w:val="00DB549E"/>
    <w:rsid w:val="00DB577A"/>
    <w:rsid w:val="00DB7FA7"/>
    <w:rsid w:val="00DC2801"/>
    <w:rsid w:val="00DC3132"/>
    <w:rsid w:val="00DC5F98"/>
    <w:rsid w:val="00DD23F9"/>
    <w:rsid w:val="00DD453E"/>
    <w:rsid w:val="00DD4A82"/>
    <w:rsid w:val="00DE6567"/>
    <w:rsid w:val="00DE7D49"/>
    <w:rsid w:val="00DF0419"/>
    <w:rsid w:val="00DF34C2"/>
    <w:rsid w:val="00DF498F"/>
    <w:rsid w:val="00DF59B5"/>
    <w:rsid w:val="00DF6855"/>
    <w:rsid w:val="00E06C16"/>
    <w:rsid w:val="00E109EC"/>
    <w:rsid w:val="00E1140D"/>
    <w:rsid w:val="00E11681"/>
    <w:rsid w:val="00E12A00"/>
    <w:rsid w:val="00E14422"/>
    <w:rsid w:val="00E14BCA"/>
    <w:rsid w:val="00E15029"/>
    <w:rsid w:val="00E175D6"/>
    <w:rsid w:val="00E17D3C"/>
    <w:rsid w:val="00E20397"/>
    <w:rsid w:val="00E20C2E"/>
    <w:rsid w:val="00E229C9"/>
    <w:rsid w:val="00E235C0"/>
    <w:rsid w:val="00E2535C"/>
    <w:rsid w:val="00E31899"/>
    <w:rsid w:val="00E324C3"/>
    <w:rsid w:val="00E35609"/>
    <w:rsid w:val="00E36147"/>
    <w:rsid w:val="00E42F0A"/>
    <w:rsid w:val="00E45252"/>
    <w:rsid w:val="00E46A48"/>
    <w:rsid w:val="00E47B12"/>
    <w:rsid w:val="00E50C20"/>
    <w:rsid w:val="00E51663"/>
    <w:rsid w:val="00E52B50"/>
    <w:rsid w:val="00E53B08"/>
    <w:rsid w:val="00E547B7"/>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2B89"/>
    <w:rsid w:val="00E83FA6"/>
    <w:rsid w:val="00E84A89"/>
    <w:rsid w:val="00E8564A"/>
    <w:rsid w:val="00E876A9"/>
    <w:rsid w:val="00E93670"/>
    <w:rsid w:val="00E93867"/>
    <w:rsid w:val="00E95308"/>
    <w:rsid w:val="00E956CE"/>
    <w:rsid w:val="00E96FD4"/>
    <w:rsid w:val="00EA31D2"/>
    <w:rsid w:val="00EA6B1F"/>
    <w:rsid w:val="00EA6F2C"/>
    <w:rsid w:val="00EA7393"/>
    <w:rsid w:val="00EA79B9"/>
    <w:rsid w:val="00EB0E39"/>
    <w:rsid w:val="00EB27CA"/>
    <w:rsid w:val="00EC1722"/>
    <w:rsid w:val="00EC25AA"/>
    <w:rsid w:val="00EC2E1A"/>
    <w:rsid w:val="00EC38F8"/>
    <w:rsid w:val="00EC47D1"/>
    <w:rsid w:val="00EC71B1"/>
    <w:rsid w:val="00EC776B"/>
    <w:rsid w:val="00ED1236"/>
    <w:rsid w:val="00ED3908"/>
    <w:rsid w:val="00ED3BE5"/>
    <w:rsid w:val="00ED464D"/>
    <w:rsid w:val="00EE13A9"/>
    <w:rsid w:val="00EE2099"/>
    <w:rsid w:val="00EE386E"/>
    <w:rsid w:val="00EF3CD8"/>
    <w:rsid w:val="00F01560"/>
    <w:rsid w:val="00F0323E"/>
    <w:rsid w:val="00F03DD3"/>
    <w:rsid w:val="00F062FD"/>
    <w:rsid w:val="00F06CFE"/>
    <w:rsid w:val="00F078E7"/>
    <w:rsid w:val="00F07C1B"/>
    <w:rsid w:val="00F07F5C"/>
    <w:rsid w:val="00F119E3"/>
    <w:rsid w:val="00F14E09"/>
    <w:rsid w:val="00F15417"/>
    <w:rsid w:val="00F158A1"/>
    <w:rsid w:val="00F21342"/>
    <w:rsid w:val="00F21958"/>
    <w:rsid w:val="00F26D50"/>
    <w:rsid w:val="00F274FB"/>
    <w:rsid w:val="00F31556"/>
    <w:rsid w:val="00F34228"/>
    <w:rsid w:val="00F363A4"/>
    <w:rsid w:val="00F37494"/>
    <w:rsid w:val="00F41CE9"/>
    <w:rsid w:val="00F43F68"/>
    <w:rsid w:val="00F516C2"/>
    <w:rsid w:val="00F54F2E"/>
    <w:rsid w:val="00F628F4"/>
    <w:rsid w:val="00F64B7A"/>
    <w:rsid w:val="00F65E48"/>
    <w:rsid w:val="00F66D32"/>
    <w:rsid w:val="00F67B18"/>
    <w:rsid w:val="00F713EB"/>
    <w:rsid w:val="00F71DC5"/>
    <w:rsid w:val="00F74939"/>
    <w:rsid w:val="00F7544C"/>
    <w:rsid w:val="00F802EB"/>
    <w:rsid w:val="00F82116"/>
    <w:rsid w:val="00F82339"/>
    <w:rsid w:val="00F82B33"/>
    <w:rsid w:val="00F9014B"/>
    <w:rsid w:val="00F9032F"/>
    <w:rsid w:val="00F9288F"/>
    <w:rsid w:val="00F9444C"/>
    <w:rsid w:val="00F95EFA"/>
    <w:rsid w:val="00F96C61"/>
    <w:rsid w:val="00FA16B7"/>
    <w:rsid w:val="00FA29BB"/>
    <w:rsid w:val="00FA2C08"/>
    <w:rsid w:val="00FA378C"/>
    <w:rsid w:val="00FA3D37"/>
    <w:rsid w:val="00FA7A29"/>
    <w:rsid w:val="00FB02C3"/>
    <w:rsid w:val="00FB303A"/>
    <w:rsid w:val="00FC1CBC"/>
    <w:rsid w:val="00FC36C2"/>
    <w:rsid w:val="00FC5186"/>
    <w:rsid w:val="00FC52BC"/>
    <w:rsid w:val="00FC5E64"/>
    <w:rsid w:val="00FD4CFF"/>
    <w:rsid w:val="00FD4FDF"/>
    <w:rsid w:val="00FD58B1"/>
    <w:rsid w:val="00FD5A69"/>
    <w:rsid w:val="00FD6690"/>
    <w:rsid w:val="00FD699C"/>
    <w:rsid w:val="00FE0F16"/>
    <w:rsid w:val="00FE2BA2"/>
    <w:rsid w:val="00FE414A"/>
    <w:rsid w:val="00FE45A0"/>
    <w:rsid w:val="00FE4B0F"/>
    <w:rsid w:val="00FE6C6D"/>
    <w:rsid w:val="00FF0848"/>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035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0D4CE7-4117-4588-A545-C487E5208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483</TotalTime>
  <Pages>16</Pages>
  <Words>2541</Words>
  <Characters>14488</Characters>
  <Application>Microsoft Office Word</Application>
  <DocSecurity>0</DocSecurity>
  <Lines>120</Lines>
  <Paragraphs>33</Paragraphs>
  <ScaleCrop>false</ScaleCrop>
  <Company>Microsoft</Company>
  <LinksUpToDate>false</LinksUpToDate>
  <CharactersWithSpaces>16996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dongxiaogang</cp:lastModifiedBy>
  <cp:revision>53</cp:revision>
  <cp:lastPrinted>2019-05-06T02:56:00Z</cp:lastPrinted>
  <dcterms:created xsi:type="dcterms:W3CDTF">2019-04-02T01:53:00Z</dcterms:created>
  <dcterms:modified xsi:type="dcterms:W3CDTF">2019-07-08T23:33:00Z</dcterms:modified>
</cp:coreProperties>
</file>