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5F6CB3" w:rsidRDefault="002245DF" w:rsidP="00595E5D">
      <w:pPr>
        <w:tabs>
          <w:tab w:val="center" w:pos="4309"/>
        </w:tabs>
        <w:spacing w:beforeLines="300" w:line="560" w:lineRule="exact"/>
        <w:ind w:leftChars="202" w:left="424"/>
        <w:jc w:val="center"/>
        <w:rPr>
          <w:rFonts w:ascii="楷体_GB2312" w:eastAsia="楷体_GB2312" w:hAnsi="楷体"/>
          <w:b/>
          <w:color w:val="984806" w:themeColor="accent6" w:themeShade="80"/>
          <w:w w:val="90"/>
          <w:kern w:val="0"/>
          <w:sz w:val="110"/>
          <w:szCs w:val="110"/>
        </w:rPr>
      </w:pPr>
      <w:r w:rsidRPr="005F6CB3">
        <w:rPr>
          <w:rFonts w:ascii="楷体_GB2312" w:eastAsia="楷体_GB2312" w:hAnsi="楷体" w:hint="eastAsia"/>
          <w:b/>
          <w:color w:val="984806" w:themeColor="accent6" w:themeShade="80"/>
          <w:w w:val="90"/>
          <w:kern w:val="0"/>
          <w:sz w:val="110"/>
          <w:szCs w:val="110"/>
        </w:rPr>
        <w:t>林业经济技术信息</w:t>
      </w:r>
    </w:p>
    <w:p w:rsidR="009928CB" w:rsidRPr="00B20E31" w:rsidRDefault="00CB4D1C" w:rsidP="00595E5D">
      <w:pPr>
        <w:spacing w:beforeLines="50" w:afterLines="50" w:line="560" w:lineRule="exact"/>
        <w:jc w:val="center"/>
        <w:rPr>
          <w:rFonts w:asciiTheme="minorEastAsia" w:hAnsiTheme="minorEastAsia"/>
          <w:b/>
          <w:sz w:val="28"/>
          <w:szCs w:val="28"/>
        </w:rPr>
      </w:pPr>
      <w:r w:rsidRPr="00B20E31">
        <w:rPr>
          <w:rFonts w:asciiTheme="minorEastAsia" w:hAnsiTheme="minorEastAsia" w:cs="Times New Roman" w:hint="eastAsia"/>
          <w:b/>
          <w:sz w:val="28"/>
          <w:szCs w:val="28"/>
        </w:rPr>
        <w:t>第</w:t>
      </w:r>
      <w:r w:rsidR="00FC014F">
        <w:rPr>
          <w:rFonts w:asciiTheme="minorEastAsia" w:hAnsiTheme="minorEastAsia" w:cs="Times New Roman" w:hint="eastAsia"/>
          <w:b/>
          <w:sz w:val="28"/>
          <w:szCs w:val="28"/>
        </w:rPr>
        <w:t>1</w:t>
      </w:r>
      <w:r w:rsidR="00665B4D">
        <w:rPr>
          <w:rFonts w:asciiTheme="minorEastAsia" w:hAnsiTheme="minorEastAsia" w:cs="Times New Roman" w:hint="eastAsia"/>
          <w:b/>
          <w:sz w:val="28"/>
          <w:szCs w:val="28"/>
        </w:rPr>
        <w:t>3</w:t>
      </w:r>
      <w:r w:rsidR="00654EE3" w:rsidRPr="00B20E31">
        <w:rPr>
          <w:rFonts w:asciiTheme="minorEastAsia" w:hAnsiTheme="minorEastAsia" w:cs="Times New Roman" w:hint="eastAsia"/>
          <w:b/>
          <w:sz w:val="28"/>
          <w:szCs w:val="28"/>
        </w:rPr>
        <w:t>、</w:t>
      </w:r>
      <w:r w:rsidR="004026C1">
        <w:rPr>
          <w:rFonts w:asciiTheme="minorEastAsia" w:hAnsiTheme="minorEastAsia" w:cs="Times New Roman" w:hint="eastAsia"/>
          <w:b/>
          <w:sz w:val="28"/>
          <w:szCs w:val="28"/>
        </w:rPr>
        <w:t>1</w:t>
      </w:r>
      <w:r w:rsidR="00665B4D">
        <w:rPr>
          <w:rFonts w:asciiTheme="minorEastAsia" w:hAnsiTheme="minorEastAsia" w:cs="Times New Roman" w:hint="eastAsia"/>
          <w:b/>
          <w:sz w:val="28"/>
          <w:szCs w:val="28"/>
        </w:rPr>
        <w:t>4</w:t>
      </w:r>
      <w:r w:rsidRPr="00B20E31">
        <w:rPr>
          <w:rFonts w:asciiTheme="minorEastAsia" w:hAnsiTheme="minorEastAsia" w:cs="Times New Roman" w:hint="eastAsia"/>
          <w:b/>
          <w:sz w:val="28"/>
          <w:szCs w:val="28"/>
        </w:rPr>
        <w:t>期</w:t>
      </w:r>
      <w:r w:rsidR="009928CB" w:rsidRPr="00B20E31">
        <w:rPr>
          <w:rFonts w:asciiTheme="minorEastAsia" w:hAnsiTheme="minorEastAsia" w:hint="eastAsia"/>
          <w:b/>
          <w:sz w:val="28"/>
          <w:szCs w:val="28"/>
        </w:rPr>
        <w:t>（总第</w:t>
      </w:r>
      <w:r w:rsidR="00B72FA8" w:rsidRPr="00B20E31">
        <w:rPr>
          <w:rFonts w:asciiTheme="minorEastAsia" w:hAnsiTheme="minorEastAsia" w:hint="eastAsia"/>
          <w:b/>
          <w:sz w:val="28"/>
          <w:szCs w:val="28"/>
        </w:rPr>
        <w:t>1</w:t>
      </w:r>
      <w:r w:rsidR="004026C1">
        <w:rPr>
          <w:rFonts w:asciiTheme="minorEastAsia" w:hAnsiTheme="minorEastAsia" w:hint="eastAsia"/>
          <w:b/>
          <w:sz w:val="28"/>
          <w:szCs w:val="28"/>
        </w:rPr>
        <w:t>9</w:t>
      </w:r>
      <w:r w:rsidR="00665B4D">
        <w:rPr>
          <w:rFonts w:asciiTheme="minorEastAsia" w:hAnsiTheme="minorEastAsia" w:hint="eastAsia"/>
          <w:b/>
          <w:sz w:val="28"/>
          <w:szCs w:val="28"/>
        </w:rPr>
        <w:t>7</w:t>
      </w:r>
      <w:r w:rsidR="00B67BE6" w:rsidRPr="00B20E31">
        <w:rPr>
          <w:rFonts w:asciiTheme="minorEastAsia" w:hAnsiTheme="minorEastAsia" w:hint="eastAsia"/>
          <w:b/>
          <w:sz w:val="28"/>
          <w:szCs w:val="28"/>
        </w:rPr>
        <w:t>、1</w:t>
      </w:r>
      <w:r w:rsidR="00910925">
        <w:rPr>
          <w:rFonts w:asciiTheme="minorEastAsia" w:hAnsiTheme="minorEastAsia" w:hint="eastAsia"/>
          <w:b/>
          <w:sz w:val="28"/>
          <w:szCs w:val="28"/>
        </w:rPr>
        <w:t>9</w:t>
      </w:r>
      <w:r w:rsidR="00665B4D">
        <w:rPr>
          <w:rFonts w:asciiTheme="minorEastAsia" w:hAnsiTheme="minorEastAsia" w:hint="eastAsia"/>
          <w:b/>
          <w:sz w:val="28"/>
          <w:szCs w:val="28"/>
        </w:rPr>
        <w:t>8</w:t>
      </w:r>
      <w:r w:rsidR="009928CB" w:rsidRPr="00B20E31">
        <w:rPr>
          <w:rFonts w:asciiTheme="minorEastAsia" w:hAnsiTheme="minorEastAsia" w:hint="eastAsia"/>
          <w:b/>
          <w:sz w:val="28"/>
          <w:szCs w:val="28"/>
        </w:rPr>
        <w:t>期）</w:t>
      </w:r>
    </w:p>
    <w:p w:rsidR="002245DF" w:rsidRPr="00B20E31" w:rsidRDefault="00A6605F" w:rsidP="009149C2">
      <w:pPr>
        <w:spacing w:line="400" w:lineRule="exact"/>
        <w:jc w:val="left"/>
        <w:rPr>
          <w:rFonts w:asciiTheme="minorEastAsia" w:hAnsiTheme="minorEastAsia"/>
          <w:sz w:val="30"/>
          <w:szCs w:val="30"/>
        </w:rPr>
      </w:pPr>
      <w:r>
        <w:rPr>
          <w:rFonts w:asciiTheme="minorEastAsia" w:hAnsiTheme="minorEastAsia" w:hint="eastAsia"/>
          <w:b/>
          <w:sz w:val="30"/>
          <w:szCs w:val="30"/>
        </w:rPr>
        <w:t>吉林</w:t>
      </w:r>
      <w:r w:rsidR="00657CC6">
        <w:rPr>
          <w:rFonts w:asciiTheme="minorEastAsia" w:hAnsiTheme="minorEastAsia" w:hint="eastAsia"/>
          <w:b/>
          <w:sz w:val="30"/>
          <w:szCs w:val="30"/>
        </w:rPr>
        <w:t>省林业科学研究院</w:t>
      </w:r>
      <w:r w:rsidR="000D6656" w:rsidRPr="00B20E31">
        <w:rPr>
          <w:rFonts w:asciiTheme="minorEastAsia" w:hAnsiTheme="minorEastAsia" w:hint="eastAsia"/>
          <w:b/>
          <w:sz w:val="30"/>
          <w:szCs w:val="30"/>
        </w:rPr>
        <w:t xml:space="preserve">  </w:t>
      </w:r>
      <w:r w:rsidR="000D6656" w:rsidRPr="00B20E31">
        <w:rPr>
          <w:rFonts w:ascii="楷体_GB2312" w:eastAsia="楷体_GB2312" w:hAnsiTheme="minorEastAsia" w:hint="eastAsia"/>
          <w:b/>
          <w:sz w:val="30"/>
          <w:szCs w:val="30"/>
        </w:rPr>
        <w:t>主办</w:t>
      </w:r>
      <w:r w:rsidR="00B27799" w:rsidRPr="00B20E31">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sidR="009C3154" w:rsidRPr="00B20E31">
        <w:rPr>
          <w:rFonts w:asciiTheme="minorEastAsia" w:hAnsiTheme="minorEastAsia" w:hint="eastAsia"/>
          <w:b/>
          <w:sz w:val="30"/>
          <w:szCs w:val="30"/>
        </w:rPr>
        <w:t>20</w:t>
      </w:r>
      <w:r w:rsidR="00EB0BFC">
        <w:rPr>
          <w:rFonts w:asciiTheme="minorEastAsia" w:hAnsiTheme="minorEastAsia" w:hint="eastAsia"/>
          <w:b/>
          <w:sz w:val="30"/>
          <w:szCs w:val="30"/>
        </w:rPr>
        <w:t>2</w:t>
      </w:r>
      <w:r w:rsidR="00695FA4">
        <w:rPr>
          <w:rFonts w:asciiTheme="minorEastAsia" w:hAnsiTheme="minorEastAsia" w:hint="eastAsia"/>
          <w:b/>
          <w:sz w:val="30"/>
          <w:szCs w:val="30"/>
        </w:rPr>
        <w:t>1</w:t>
      </w:r>
      <w:r w:rsidR="009C3154" w:rsidRPr="00B20E31">
        <w:rPr>
          <w:rFonts w:asciiTheme="minorEastAsia" w:hAnsiTheme="minorEastAsia" w:hint="eastAsia"/>
          <w:b/>
          <w:sz w:val="30"/>
          <w:szCs w:val="30"/>
        </w:rPr>
        <w:t>-</w:t>
      </w:r>
      <w:r w:rsidR="00657CC6">
        <w:rPr>
          <w:rFonts w:asciiTheme="minorEastAsia" w:hAnsiTheme="minorEastAsia" w:hint="eastAsia"/>
          <w:b/>
          <w:sz w:val="30"/>
          <w:szCs w:val="30"/>
        </w:rPr>
        <w:t>0</w:t>
      </w:r>
      <w:r w:rsidR="00665B4D">
        <w:rPr>
          <w:rFonts w:asciiTheme="minorEastAsia" w:hAnsiTheme="minorEastAsia" w:hint="eastAsia"/>
          <w:b/>
          <w:sz w:val="30"/>
          <w:szCs w:val="30"/>
        </w:rPr>
        <w:t>8</w:t>
      </w:r>
      <w:r w:rsidR="009C3154" w:rsidRPr="00B20E31">
        <w:rPr>
          <w:rFonts w:asciiTheme="minorEastAsia" w:hAnsiTheme="minorEastAsia" w:hint="eastAsia"/>
          <w:b/>
          <w:sz w:val="30"/>
          <w:szCs w:val="30"/>
        </w:rPr>
        <w:t>-</w:t>
      </w:r>
      <w:r w:rsidR="00FC3FBE">
        <w:rPr>
          <w:rFonts w:asciiTheme="minorEastAsia" w:hAnsiTheme="minorEastAsia" w:hint="eastAsia"/>
          <w:b/>
          <w:sz w:val="30"/>
          <w:szCs w:val="30"/>
        </w:rPr>
        <w:t>3</w:t>
      </w:r>
      <w:r w:rsidR="00FC014F">
        <w:rPr>
          <w:rFonts w:asciiTheme="minorEastAsia" w:hAnsiTheme="minorEastAsia" w:hint="eastAsia"/>
          <w:b/>
          <w:sz w:val="30"/>
          <w:szCs w:val="30"/>
        </w:rPr>
        <w:t>1</w:t>
      </w:r>
      <w:r w:rsidR="00B27799" w:rsidRPr="00B20E31">
        <w:rPr>
          <w:rFonts w:asciiTheme="minorEastAsia" w:hAnsiTheme="minorEastAsia" w:hint="eastAsia"/>
          <w:sz w:val="30"/>
          <w:szCs w:val="30"/>
        </w:rPr>
        <w:t xml:space="preserve">       </w:t>
      </w:r>
      <w:r w:rsidR="000D6656" w:rsidRPr="00B20E31">
        <w:rPr>
          <w:rFonts w:asciiTheme="minorEastAsia" w:hAnsiTheme="minorEastAsia" w:hint="eastAsia"/>
          <w:sz w:val="30"/>
          <w:szCs w:val="30"/>
        </w:rPr>
        <w:t xml:space="preserve">       </w:t>
      </w:r>
    </w:p>
    <w:p w:rsidR="00862543" w:rsidRDefault="00CE1A0E" w:rsidP="005A3E0E">
      <w:pPr>
        <w:spacing w:line="400" w:lineRule="exact"/>
        <w:jc w:val="center"/>
        <w:rPr>
          <w:rFonts w:ascii="黑体" w:eastAsia="黑体"/>
          <w:b/>
          <w:sz w:val="44"/>
          <w:szCs w:val="44"/>
        </w:rPr>
      </w:pPr>
      <w:r w:rsidRPr="00CE1A0E">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8240" o:connectortype="straight" strokeweight="1.25pt"/>
        </w:pict>
      </w:r>
    </w:p>
    <w:p w:rsidR="002245DF" w:rsidRPr="003B6B1D" w:rsidRDefault="002245DF" w:rsidP="005A3E0E">
      <w:pPr>
        <w:spacing w:line="400" w:lineRule="exact"/>
        <w:jc w:val="center"/>
        <w:rPr>
          <w:rFonts w:ascii="黑体" w:eastAsia="黑体"/>
          <w:b/>
          <w:sz w:val="36"/>
          <w:szCs w:val="36"/>
        </w:rPr>
      </w:pPr>
      <w:r w:rsidRPr="003B6B1D">
        <w:rPr>
          <w:rFonts w:ascii="黑体" w:eastAsia="黑体" w:hint="eastAsia"/>
          <w:b/>
          <w:sz w:val="36"/>
          <w:szCs w:val="36"/>
        </w:rPr>
        <w:t xml:space="preserve">目  </w:t>
      </w:r>
      <w:r w:rsidR="00D436AD" w:rsidRPr="003B6B1D">
        <w:rPr>
          <w:rFonts w:ascii="黑体" w:eastAsia="黑体" w:hint="eastAsia"/>
          <w:b/>
          <w:sz w:val="36"/>
          <w:szCs w:val="36"/>
        </w:rPr>
        <w:t xml:space="preserve">  </w:t>
      </w:r>
      <w:r w:rsidRPr="003B6B1D">
        <w:rPr>
          <w:rFonts w:ascii="黑体" w:eastAsia="黑体" w:hint="eastAsia"/>
          <w:b/>
          <w:sz w:val="36"/>
          <w:szCs w:val="36"/>
        </w:rPr>
        <w:t>录</w:t>
      </w:r>
    </w:p>
    <w:p w:rsidR="00657CC6" w:rsidRPr="0086415A" w:rsidRDefault="00657CC6" w:rsidP="0086415A">
      <w:pPr>
        <w:spacing w:line="360" w:lineRule="exact"/>
        <w:jc w:val="center"/>
        <w:rPr>
          <w:rFonts w:ascii="黑体" w:eastAsia="黑体"/>
          <w:b/>
          <w:sz w:val="24"/>
          <w:szCs w:val="24"/>
        </w:rPr>
      </w:pPr>
    </w:p>
    <w:p w:rsidR="00FC3FBE" w:rsidRPr="00E85335" w:rsidRDefault="0067374C" w:rsidP="00595E5D">
      <w:pPr>
        <w:spacing w:beforeLines="10" w:line="340" w:lineRule="exact"/>
        <w:jc w:val="left"/>
        <w:rPr>
          <w:rFonts w:ascii="黑体" w:eastAsia="黑体" w:hAnsiTheme="minorEastAsia" w:cs="宋体"/>
          <w:b/>
          <w:color w:val="4F6228" w:themeColor="accent3" w:themeShade="80"/>
          <w:kern w:val="0"/>
          <w:sz w:val="24"/>
          <w:szCs w:val="24"/>
        </w:rPr>
      </w:pPr>
      <w:r w:rsidRPr="00E85335">
        <w:rPr>
          <w:rFonts w:ascii="黑体" w:eastAsia="黑体" w:hAnsiTheme="minorEastAsia" w:cs="宋体" w:hint="eastAsia"/>
          <w:b/>
          <w:color w:val="4F6228" w:themeColor="accent3" w:themeShade="80"/>
          <w:kern w:val="0"/>
          <w:sz w:val="24"/>
          <w:szCs w:val="24"/>
        </w:rPr>
        <w:t>行业动态</w:t>
      </w:r>
    </w:p>
    <w:p w:rsidR="00872759" w:rsidRPr="003B6B1D" w:rsidRDefault="00872759"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《“十四五”林业草原保护发展规划纲要》印发</w:t>
      </w:r>
    </w:p>
    <w:p w:rsidR="00872759" w:rsidRPr="003B6B1D" w:rsidRDefault="00872759"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国家林草局部署东北华北秋冬季森林草原防火工作</w:t>
      </w:r>
    </w:p>
    <w:p w:rsidR="00872759" w:rsidRPr="003B6B1D" w:rsidRDefault="00872759"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《三北工程政策体系架构研究》课题研讨会召开</w:t>
      </w:r>
    </w:p>
    <w:p w:rsidR="00520DA5" w:rsidRPr="003B6B1D" w:rsidRDefault="00520DA5"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我国上半年新发生7处松材线虫病县级疫区</w:t>
      </w:r>
    </w:p>
    <w:p w:rsidR="00872759" w:rsidRPr="003B6B1D" w:rsidRDefault="00872759"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吉林</w:t>
      </w:r>
      <w:r w:rsidR="00954332" w:rsidRPr="003B6B1D">
        <w:rPr>
          <w:rFonts w:ascii="黑体" w:eastAsia="黑体" w:hAnsiTheme="minorEastAsia" w:hint="eastAsia"/>
          <w:b/>
          <w:bCs/>
          <w:sz w:val="23"/>
          <w:szCs w:val="23"/>
        </w:rPr>
        <w:t>省</w:t>
      </w:r>
      <w:r w:rsidRPr="003B6B1D">
        <w:rPr>
          <w:rFonts w:ascii="黑体" w:eastAsia="黑体" w:hAnsiTheme="minorEastAsia" w:hint="eastAsia"/>
          <w:b/>
          <w:bCs/>
          <w:sz w:val="23"/>
          <w:szCs w:val="23"/>
        </w:rPr>
        <w:t>启动林草湿生态连通工程</w:t>
      </w:r>
    </w:p>
    <w:p w:rsidR="00954332" w:rsidRPr="003B6B1D" w:rsidRDefault="00954332"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吉林省自然保护地数量面积实现双突破</w:t>
      </w:r>
    </w:p>
    <w:p w:rsidR="00872759" w:rsidRPr="003B6B1D" w:rsidRDefault="00872759"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《吉林省林业有害生物防治条例》10月施行</w:t>
      </w:r>
    </w:p>
    <w:p w:rsidR="00C50235" w:rsidRPr="00E85335" w:rsidRDefault="00C50235" w:rsidP="00595E5D">
      <w:pPr>
        <w:spacing w:beforeLines="10" w:afterLines="10" w:line="340" w:lineRule="exact"/>
        <w:jc w:val="left"/>
        <w:rPr>
          <w:rFonts w:ascii="黑体" w:eastAsia="黑体" w:hAnsiTheme="minorEastAsia" w:cs="宋体"/>
          <w:b/>
          <w:color w:val="4F6228" w:themeColor="accent3" w:themeShade="80"/>
          <w:kern w:val="0"/>
          <w:sz w:val="24"/>
          <w:szCs w:val="24"/>
        </w:rPr>
      </w:pPr>
      <w:r w:rsidRPr="00E85335">
        <w:rPr>
          <w:rFonts w:ascii="黑体" w:eastAsia="黑体" w:hAnsiTheme="minorEastAsia" w:cs="宋体" w:hint="eastAsia"/>
          <w:b/>
          <w:color w:val="4F6228" w:themeColor="accent3" w:themeShade="80"/>
          <w:kern w:val="0"/>
          <w:sz w:val="24"/>
          <w:szCs w:val="24"/>
        </w:rPr>
        <w:t>科技资讯</w:t>
      </w:r>
    </w:p>
    <w:p w:rsidR="00A865C1" w:rsidRPr="003B6B1D" w:rsidRDefault="00A865C1"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“东北天然次生林抚育更新技术研究与示范”完成课题查定</w:t>
      </w:r>
    </w:p>
    <w:p w:rsidR="00A865C1" w:rsidRPr="003B6B1D" w:rsidRDefault="00A865C1"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再生纺织纤维木竹基复合板通过鉴定</w:t>
      </w:r>
    </w:p>
    <w:p w:rsidR="00144866" w:rsidRPr="003B6B1D" w:rsidRDefault="00144866"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两款新型重组竹用设备达到国际领先水平</w:t>
      </w:r>
    </w:p>
    <w:p w:rsidR="007C6A68" w:rsidRPr="003B6B1D" w:rsidRDefault="007C6A68"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黑龙江成立林草碳汇专家咨询委员会</w:t>
      </w:r>
    </w:p>
    <w:p w:rsidR="007D4FB4" w:rsidRPr="00E85335" w:rsidRDefault="00A35203" w:rsidP="00595E5D">
      <w:pPr>
        <w:spacing w:beforeLines="10" w:afterLines="10" w:line="360" w:lineRule="exact"/>
        <w:jc w:val="left"/>
        <w:rPr>
          <w:rFonts w:ascii="黑体" w:eastAsia="黑体" w:hAnsiTheme="minorEastAsia" w:cs="宋体"/>
          <w:b/>
          <w:color w:val="4F6228" w:themeColor="accent3" w:themeShade="80"/>
          <w:kern w:val="0"/>
          <w:sz w:val="24"/>
          <w:szCs w:val="24"/>
        </w:rPr>
      </w:pPr>
      <w:r w:rsidRPr="00E85335">
        <w:rPr>
          <w:rFonts w:ascii="黑体" w:eastAsia="黑体" w:hAnsiTheme="minorEastAsia" w:cs="宋体" w:hint="eastAsia"/>
          <w:b/>
          <w:color w:val="4F6228" w:themeColor="accent3" w:themeShade="80"/>
          <w:kern w:val="0"/>
          <w:sz w:val="24"/>
          <w:szCs w:val="24"/>
        </w:rPr>
        <w:t>智慧林业</w:t>
      </w:r>
    </w:p>
    <w:p w:rsidR="00A865C1" w:rsidRPr="003B6B1D" w:rsidRDefault="00A865C1"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联合国推出首个用于快速核算自然资本的人工智能工具</w:t>
      </w:r>
    </w:p>
    <w:p w:rsidR="00A865C1" w:rsidRPr="003B6B1D" w:rsidRDefault="00A865C1"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浙江以数字化管理推动十大名山智治</w:t>
      </w:r>
    </w:p>
    <w:p w:rsidR="00A865C1" w:rsidRPr="003B6B1D" w:rsidRDefault="00A865C1"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“内蒙古一号”卫星助力构建生态监测新格局</w:t>
      </w:r>
    </w:p>
    <w:p w:rsidR="002F269C" w:rsidRPr="00E85335" w:rsidRDefault="002F269C" w:rsidP="00595E5D">
      <w:pPr>
        <w:spacing w:beforeLines="10" w:afterLines="10" w:line="340" w:lineRule="exact"/>
        <w:jc w:val="left"/>
        <w:rPr>
          <w:rFonts w:ascii="黑体" w:eastAsia="黑体" w:hAnsiTheme="minorEastAsia" w:cs="宋体"/>
          <w:b/>
          <w:color w:val="4F6228" w:themeColor="accent3" w:themeShade="80"/>
          <w:kern w:val="0"/>
          <w:sz w:val="24"/>
          <w:szCs w:val="24"/>
        </w:rPr>
      </w:pPr>
      <w:r w:rsidRPr="00E85335">
        <w:rPr>
          <w:rFonts w:ascii="黑体" w:eastAsia="黑体" w:hAnsiTheme="minorEastAsia" w:cs="宋体" w:hint="eastAsia"/>
          <w:b/>
          <w:color w:val="4F6228" w:themeColor="accent3" w:themeShade="80"/>
          <w:kern w:val="0"/>
          <w:sz w:val="24"/>
          <w:szCs w:val="24"/>
        </w:rPr>
        <w:t>产业</w:t>
      </w:r>
      <w:r w:rsidR="00AB54BA" w:rsidRPr="00E85335">
        <w:rPr>
          <w:rFonts w:ascii="黑体" w:eastAsia="黑体" w:hAnsiTheme="minorEastAsia" w:cs="宋体" w:hint="eastAsia"/>
          <w:b/>
          <w:color w:val="4F6228" w:themeColor="accent3" w:themeShade="80"/>
          <w:kern w:val="0"/>
          <w:sz w:val="24"/>
          <w:szCs w:val="24"/>
        </w:rPr>
        <w:t>经济</w:t>
      </w:r>
    </w:p>
    <w:p w:rsidR="00144866" w:rsidRPr="003B6B1D" w:rsidRDefault="00144866"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中国林产协发布推进“双碳”战略行动方案</w:t>
      </w:r>
    </w:p>
    <w:p w:rsidR="00A865C1" w:rsidRPr="003B6B1D" w:rsidRDefault="00A865C1"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《经济林产品领域标准体系》印发</w:t>
      </w:r>
    </w:p>
    <w:p w:rsidR="00A865C1" w:rsidRPr="003B6B1D" w:rsidRDefault="00A865C1"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椴树产业国家创新联盟成立</w:t>
      </w:r>
    </w:p>
    <w:p w:rsidR="00A865C1" w:rsidRPr="003B6B1D" w:rsidRDefault="00A865C1"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元宝枫产业融合高质量发展论坛举办</w:t>
      </w:r>
    </w:p>
    <w:p w:rsidR="00144866" w:rsidRPr="003B6B1D" w:rsidRDefault="00144866"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中乌林业产业合作与发展线上交流会举行</w:t>
      </w:r>
    </w:p>
    <w:p w:rsidR="00882F64" w:rsidRPr="003B6B1D" w:rsidRDefault="00882F64"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日本修订《间伐等特别措施法》以实现2050年碳中和目标</w:t>
      </w:r>
    </w:p>
    <w:p w:rsidR="00882F64" w:rsidRPr="003B6B1D" w:rsidRDefault="00882F64"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德国图林根州有林公司利用森林沼泽地种植有机水稻</w:t>
      </w:r>
    </w:p>
    <w:p w:rsidR="00882F64" w:rsidRPr="003B6B1D" w:rsidRDefault="00882F64"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松针可为森林经营者带来额外经济收入</w:t>
      </w:r>
    </w:p>
    <w:p w:rsidR="000F7160" w:rsidRPr="00E85335" w:rsidRDefault="00E11805" w:rsidP="00595E5D">
      <w:pPr>
        <w:spacing w:beforeLines="10" w:afterLines="10" w:line="340" w:lineRule="exact"/>
        <w:jc w:val="left"/>
        <w:rPr>
          <w:rFonts w:ascii="黑体" w:eastAsia="黑体" w:hAnsiTheme="minorEastAsia" w:cs="宋体"/>
          <w:b/>
          <w:color w:val="4F6228" w:themeColor="accent3" w:themeShade="80"/>
          <w:kern w:val="0"/>
          <w:sz w:val="24"/>
          <w:szCs w:val="24"/>
        </w:rPr>
      </w:pPr>
      <w:r w:rsidRPr="00E85335">
        <w:rPr>
          <w:rFonts w:ascii="黑体" w:eastAsia="黑体" w:hAnsiTheme="minorEastAsia" w:cs="宋体" w:hint="eastAsia"/>
          <w:b/>
          <w:color w:val="4F6228" w:themeColor="accent3" w:themeShade="80"/>
          <w:kern w:val="0"/>
          <w:sz w:val="24"/>
          <w:szCs w:val="24"/>
        </w:rPr>
        <w:t>科普之窗</w:t>
      </w:r>
      <w:r w:rsidR="00045EC6" w:rsidRPr="00E85335">
        <w:rPr>
          <w:rFonts w:ascii="黑体" w:eastAsia="黑体" w:hAnsiTheme="minorEastAsia" w:cs="宋体" w:hint="eastAsia"/>
          <w:b/>
          <w:color w:val="4F6228" w:themeColor="accent3" w:themeShade="80"/>
          <w:kern w:val="0"/>
          <w:sz w:val="24"/>
          <w:szCs w:val="24"/>
        </w:rPr>
        <w:t xml:space="preserve"> </w:t>
      </w:r>
    </w:p>
    <w:p w:rsidR="00954332" w:rsidRPr="003B6B1D" w:rsidRDefault="00954332"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全球世界自然遗产总数增至218项</w:t>
      </w:r>
    </w:p>
    <w:p w:rsidR="00882F64" w:rsidRPr="003B6B1D" w:rsidRDefault="00882F64"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联合国报告显示全球受保护面积覆盖率近17%</w:t>
      </w:r>
    </w:p>
    <w:p w:rsidR="00882F64" w:rsidRDefault="00882F64" w:rsidP="003B6B1D">
      <w:pPr>
        <w:pStyle w:val="a7"/>
        <w:numPr>
          <w:ilvl w:val="0"/>
          <w:numId w:val="5"/>
        </w:numPr>
        <w:spacing w:line="330" w:lineRule="exact"/>
        <w:ind w:firstLineChars="0"/>
        <w:jc w:val="left"/>
        <w:rPr>
          <w:rFonts w:ascii="黑体" w:eastAsia="黑体" w:hAnsiTheme="minorEastAsia"/>
          <w:b/>
          <w:bCs/>
          <w:sz w:val="23"/>
          <w:szCs w:val="23"/>
        </w:rPr>
      </w:pPr>
      <w:r w:rsidRPr="003B6B1D">
        <w:rPr>
          <w:rFonts w:ascii="黑体" w:eastAsia="黑体" w:hAnsiTheme="minorEastAsia" w:hint="eastAsia"/>
          <w:b/>
          <w:bCs/>
          <w:sz w:val="23"/>
          <w:szCs w:val="23"/>
        </w:rPr>
        <w:t>浙江构建覆盖全省的林业科普阵地</w:t>
      </w:r>
    </w:p>
    <w:p w:rsidR="003B6B1D" w:rsidRPr="003B6B1D" w:rsidRDefault="00CE1A0E" w:rsidP="003B6B1D">
      <w:pPr>
        <w:pStyle w:val="a7"/>
        <w:spacing w:line="330" w:lineRule="exact"/>
        <w:ind w:left="840" w:firstLineChars="0" w:firstLine="0"/>
        <w:jc w:val="left"/>
        <w:rPr>
          <w:rFonts w:ascii="黑体" w:eastAsia="黑体" w:hAnsiTheme="minorEastAsia"/>
          <w:b/>
          <w:bCs/>
          <w:sz w:val="23"/>
          <w:szCs w:val="23"/>
        </w:rPr>
      </w:pPr>
      <w:r w:rsidRPr="00CE1A0E">
        <w:rPr>
          <w:rFonts w:asciiTheme="minorEastAsia" w:eastAsia="宋体" w:hAnsiTheme="minorEastAsia"/>
          <w:b/>
          <w:noProof/>
          <w:sz w:val="24"/>
          <w:szCs w:val="24"/>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4.05pt;margin-top:6.3pt;width:89.85pt;height:54pt;z-index:251662336">
            <v:textbox style="mso-next-textbox:#_x0000_s2054">
              <w:txbxContent>
                <w:p w:rsidR="00D4341F" w:rsidRDefault="00D4341F">
                  <w:pPr>
                    <w:rPr>
                      <w:b/>
                      <w:color w:val="984806" w:themeColor="accent6" w:themeShade="80"/>
                      <w:sz w:val="32"/>
                      <w:szCs w:val="32"/>
                    </w:rPr>
                  </w:pPr>
                  <w:r w:rsidRPr="00191741">
                    <w:rPr>
                      <w:rFonts w:hint="eastAsia"/>
                      <w:b/>
                      <w:color w:val="984806" w:themeColor="accent6" w:themeShade="80"/>
                      <w:sz w:val="32"/>
                      <w:szCs w:val="32"/>
                    </w:rPr>
                    <w:t>行业动态</w:t>
                  </w: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Pr="00191741" w:rsidRDefault="00D4341F">
                  <w:pPr>
                    <w:rPr>
                      <w:b/>
                      <w:color w:val="984806" w:themeColor="accent6" w:themeShade="80"/>
                      <w:sz w:val="32"/>
                      <w:szCs w:val="32"/>
                    </w:rPr>
                  </w:pPr>
                </w:p>
                <w:p w:rsidR="00D4341F" w:rsidRPr="005F02BE" w:rsidRDefault="00D4341F">
                  <w:pPr>
                    <w:rPr>
                      <w:b/>
                      <w:sz w:val="28"/>
                      <w:szCs w:val="28"/>
                    </w:rPr>
                  </w:pPr>
                </w:p>
              </w:txbxContent>
            </v:textbox>
          </v:shape>
        </w:pict>
      </w:r>
    </w:p>
    <w:p w:rsidR="00042C65" w:rsidRPr="00882F64" w:rsidRDefault="00042C65" w:rsidP="00E85335">
      <w:pPr>
        <w:spacing w:line="340" w:lineRule="exact"/>
        <w:jc w:val="left"/>
        <w:rPr>
          <w:rFonts w:ascii="黑体" w:eastAsia="黑体" w:hAnsi="黑体"/>
          <w:b/>
          <w:sz w:val="24"/>
          <w:szCs w:val="24"/>
        </w:rPr>
      </w:pPr>
    </w:p>
    <w:p w:rsidR="00657CC6" w:rsidRDefault="00B53BFA" w:rsidP="006E79D5">
      <w:pPr>
        <w:spacing w:line="400" w:lineRule="exact"/>
        <w:jc w:val="left"/>
        <w:rPr>
          <w:rFonts w:ascii="黑体" w:eastAsia="黑体" w:hAnsi="黑体"/>
          <w:b/>
          <w:sz w:val="24"/>
          <w:szCs w:val="24"/>
        </w:rPr>
      </w:pPr>
      <w:r>
        <w:rPr>
          <w:rFonts w:ascii="黑体" w:eastAsia="黑体" w:hAnsi="黑体" w:hint="eastAsia"/>
          <w:b/>
          <w:sz w:val="24"/>
          <w:szCs w:val="24"/>
        </w:rPr>
        <w:t xml:space="preserve"> </w:t>
      </w:r>
    </w:p>
    <w:p w:rsidR="00B655AF" w:rsidRPr="006369DD" w:rsidRDefault="00B655AF" w:rsidP="00595E5D">
      <w:pPr>
        <w:pStyle w:val="2"/>
        <w:shd w:val="clear" w:color="auto" w:fill="FFFFFF"/>
        <w:spacing w:beforeLines="100" w:beforeAutospacing="0" w:afterLines="100" w:afterAutospacing="0" w:line="392" w:lineRule="exact"/>
        <w:jc w:val="center"/>
        <w:rPr>
          <w:rFonts w:ascii="黑体" w:eastAsia="黑体" w:hAnsi="黑体"/>
          <w:b/>
          <w:sz w:val="30"/>
          <w:szCs w:val="30"/>
        </w:rPr>
      </w:pPr>
      <w:r w:rsidRPr="003B6B1D">
        <w:rPr>
          <w:rFonts w:ascii="黑体" w:eastAsia="黑体" w:hAnsi="黑体" w:hint="eastAsia"/>
          <w:b/>
          <w:color w:val="4F6228" w:themeColor="accent3" w:themeShade="80"/>
          <w:sz w:val="30"/>
          <w:szCs w:val="30"/>
        </w:rPr>
        <w:t>《“十四五”林业草原保护发展规划纲要》印发</w:t>
      </w:r>
    </w:p>
    <w:p w:rsidR="00B655AF" w:rsidRPr="003B6B1D" w:rsidRDefault="00B655AF" w:rsidP="00A76F92">
      <w:pPr>
        <w:pStyle w:val="a8"/>
        <w:shd w:val="clear" w:color="auto" w:fill="FFFFFF"/>
        <w:spacing w:before="0" w:beforeAutospacing="0" w:after="0" w:afterAutospacing="0" w:line="392" w:lineRule="exact"/>
        <w:ind w:firstLineChars="200" w:firstLine="482"/>
        <w:rPr>
          <w:rFonts w:ascii="仿宋_GB2312" w:eastAsia="仿宋_GB2312" w:hAnsi="仿宋"/>
          <w:b/>
        </w:rPr>
      </w:pPr>
      <w:r w:rsidRPr="003B6B1D">
        <w:rPr>
          <w:rFonts w:ascii="仿宋_GB2312" w:eastAsia="仿宋_GB2312" w:hAnsi="仿宋" w:hint="eastAsia"/>
          <w:b/>
        </w:rPr>
        <w:t>近日，国家林业和草原局、国家发展和改革委员会联合印发《“十四五”林业草原保护发展规划纲要》，明确了“十四五”期间我国林业草原保护发展的总体思路、目标要求和重点任务。</w:t>
      </w:r>
    </w:p>
    <w:p w:rsidR="00B655AF" w:rsidRPr="003B6B1D" w:rsidRDefault="00B655A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规划纲要》指出，“十四五”时期，林草事业发展要以习近平新时代中国特色社会主义思想为指导，认真践行习近平生态文明思想，牢固树立绿水青山就是金山银山理念，坚持尊重自然、顺应自然、保护自然，坚持节约优先、保护优先、自然恢复为主，以全面推行林长制为抓手，以林业草原国家公园“三位一体”融合发展为主线，统筹山水林田湖草沙系统治理，推动林草高质量发展。</w:t>
      </w:r>
    </w:p>
    <w:p w:rsidR="00B655AF" w:rsidRPr="003B6B1D" w:rsidRDefault="00B655A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规划纲要》提出了“十四五”林草事业发展的12个主要目标，其中有2项约束性指标，即森林覆盖率达到24.1%，森林蓄积量达到190亿立方米；10项预期性指标，包括草原综合植被盖度达到57%，湿地保护率达到55%，以国家公园为主体的自然保护地面积占陆域国土面积比例超过18%，沙化土地治理面积1亿亩等。</w:t>
      </w:r>
    </w:p>
    <w:p w:rsidR="00B655AF" w:rsidRPr="003B6B1D" w:rsidRDefault="00B655A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规划纲要》按照国土空间规划和全国重要生态系统保护和修复重大工程总体布局，以国家重点生态功能区、生态保护红线、国家级自然保护地等为重点，布局重要生态系统保护和修复重大工程，加快推进“三区四带”生态屏障建设，加快构建以国家公园为主体的自然保护地体系。</w:t>
      </w:r>
    </w:p>
    <w:p w:rsidR="00B655AF" w:rsidRPr="003B6B1D" w:rsidRDefault="00B655A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规划纲要》提出了“十四五”林业草原保护发展的12项重点任务。科学推进大规模国土绿化行动，坚持存量增量并重、数量质量统一。构建以国家公园为主体的自然保护地体系，健全保护体制，创新管理机制。加强草原保护修复，增强草原生态系统稳定性和服务功能。强化湿地保护修复，增强湿地生态功能，保护湿地物种资源。加强野生动植物保护，维护生物多样性和生物安全。科学推进防沙治沙，加强荒漠生态保护，推进荒漠化、岩溶地区石漠化综合治理。做优做强林草产业，巩固生态脱贫成果，推动乡村振兴。加强林草资源监督管理，全面推行林长制，实施综合监测，开展成效评估。共建森林草原防灭火一体化体系，坚持预防为主，加强早期火情处理，提升保障能力，抓好安全生产。加强林草有害生物防治，实施松材线虫病疫情防控攻坚行动。深化林草改革开放，盘活集体林地资源，健全国有林场经营机制，理顺国有林区资源管理体制。实施区域性山水林田湖草沙系统治理示范项目。</w:t>
      </w:r>
    </w:p>
    <w:p w:rsidR="00B655AF" w:rsidRPr="003B6B1D" w:rsidRDefault="00B655A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《规划纲要》从6个方面提出进一步完善林草支撑体系，包括建立生态产品价值实现机制，推进法治建设，强化科技创新体系，完善政策支撑体系，加强生态网络感知体系建设，加强人才队伍建设。</w:t>
      </w:r>
    </w:p>
    <w:p w:rsidR="00B655AF" w:rsidRPr="003B6B1D" w:rsidRDefault="00B655A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lastRenderedPageBreak/>
        <w:t xml:space="preserve">　　《规划纲要》要求，要建立以“双重”规划为基础，以林草保护发展规划纲要为统领，以林草专项规划为支撑，由国家与地方规划共同组成的林业草原国家公园融合发展规划体系。建立规划衔接协调机制，实施评估机制，将规划目标任务完成情况纳入林长制考核。</w:t>
      </w:r>
    </w:p>
    <w:p w:rsidR="00B75A52" w:rsidRPr="003B6B1D" w:rsidRDefault="00B75A52" w:rsidP="00595E5D">
      <w:pPr>
        <w:pStyle w:val="ac"/>
        <w:spacing w:beforeLines="100" w:afterLines="100" w:line="392" w:lineRule="exact"/>
        <w:rPr>
          <w:rFonts w:ascii="黑体" w:eastAsia="黑体" w:hAnsi="黑体"/>
          <w:color w:val="4F6228" w:themeColor="accent3" w:themeShade="80"/>
          <w:sz w:val="30"/>
          <w:szCs w:val="30"/>
        </w:rPr>
      </w:pPr>
      <w:r w:rsidRPr="003B6B1D">
        <w:rPr>
          <w:rFonts w:ascii="黑体" w:eastAsia="黑体" w:hAnsi="黑体" w:hint="eastAsia"/>
          <w:color w:val="4F6228" w:themeColor="accent3" w:themeShade="80"/>
          <w:sz w:val="30"/>
          <w:szCs w:val="30"/>
        </w:rPr>
        <w:t>国家林草局部署东北华北秋冬季森林草原防火工作</w:t>
      </w:r>
    </w:p>
    <w:p w:rsidR="00B75A52" w:rsidRPr="003B6B1D" w:rsidRDefault="00B75A52" w:rsidP="00A76F92">
      <w:pPr>
        <w:shd w:val="clear" w:color="auto" w:fill="FFFFFF"/>
        <w:spacing w:line="392" w:lineRule="exact"/>
        <w:ind w:firstLineChars="200" w:firstLine="482"/>
        <w:jc w:val="left"/>
        <w:rPr>
          <w:rFonts w:ascii="仿宋_GB2312" w:eastAsia="仿宋_GB2312" w:hAnsi="仿宋" w:cs="宋体"/>
          <w:b/>
          <w:kern w:val="0"/>
          <w:sz w:val="24"/>
          <w:szCs w:val="24"/>
        </w:rPr>
      </w:pPr>
      <w:r w:rsidRPr="003B6B1D">
        <w:rPr>
          <w:rFonts w:ascii="仿宋_GB2312" w:eastAsia="仿宋_GB2312" w:hAnsi="仿宋" w:cs="宋体" w:hint="eastAsia"/>
          <w:b/>
          <w:kern w:val="0"/>
          <w:sz w:val="24"/>
          <w:szCs w:val="24"/>
        </w:rPr>
        <w:t>8月25日，国家林业和草原局组织开展东北、华北地区秋冬季森林草原防火工作形势分析，深入贯彻落实习近平总书记8月23日在河北省塞罕坝机械林场考察调研时的重要指示精神，总结东北、华北地区春夏季防火工作情况，安排部署秋冬季森林草原防火工作。</w:t>
      </w:r>
    </w:p>
    <w:p w:rsidR="00B75A52" w:rsidRPr="003B6B1D" w:rsidRDefault="00B75A52" w:rsidP="00ED5BB4">
      <w:pPr>
        <w:pStyle w:val="a8"/>
        <w:shd w:val="clear" w:color="auto" w:fill="FFFFFF"/>
        <w:spacing w:before="0" w:beforeAutospacing="0" w:after="0" w:afterAutospacing="0" w:line="392" w:lineRule="exact"/>
        <w:ind w:firstLine="480"/>
        <w:jc w:val="both"/>
        <w:rPr>
          <w:rFonts w:ascii="仿宋_GB2312" w:eastAsia="仿宋_GB2312" w:hAnsi="仿宋"/>
          <w:b/>
        </w:rPr>
      </w:pPr>
      <w:r w:rsidRPr="003B6B1D">
        <w:rPr>
          <w:rFonts w:ascii="仿宋_GB2312" w:eastAsia="仿宋_GB2312" w:hAnsi="仿宋" w:hint="eastAsia"/>
          <w:b/>
        </w:rPr>
        <w:t>今年1月至7月，全国共发生森林火灾523起，受害森林面积2609公顷，人员伤亡27人，较去年同期分别减少47.7%、65.97%和27.03%，未发生重大以上森林火灾；发生草原火灾12起，较去年同期增加20%；受害草原面积3388公顷，较去年同期减少46.7%，无人员伤亡。其中，东北、华北地区共发生森林火灾43起，受害森林面积91.53公顷，未发生人员伤亡，较去年同期分别减少79.43%、94.19%和100%；发生草原火灾6起，与去年同期持平；受害草原面积2488公顷，较去年同期减少42.42%。内蒙古、黑龙江大兴安岭共发生雷击火5起，比全年同期减少96.15%。</w:t>
      </w:r>
    </w:p>
    <w:p w:rsidR="00ED5BB4" w:rsidRDefault="00B75A52" w:rsidP="00A76F92">
      <w:pPr>
        <w:pStyle w:val="a8"/>
        <w:shd w:val="clear" w:color="auto" w:fill="FFFFFF"/>
        <w:spacing w:before="0" w:beforeAutospacing="0" w:after="0" w:afterAutospacing="0" w:line="392" w:lineRule="exact"/>
        <w:ind w:firstLineChars="196" w:firstLine="472"/>
        <w:jc w:val="both"/>
        <w:rPr>
          <w:rFonts w:ascii="仿宋_GB2312" w:eastAsia="仿宋_GB2312" w:hAnsi="仿宋"/>
          <w:b/>
        </w:rPr>
      </w:pPr>
      <w:r w:rsidRPr="003B6B1D">
        <w:rPr>
          <w:rFonts w:ascii="仿宋_GB2312" w:eastAsia="仿宋_GB2312" w:hAnsi="仿宋" w:hint="eastAsia"/>
          <w:b/>
        </w:rPr>
        <w:t>分析指出，今夏以来，全球极端天气频发，山火不断，造成严重生态灾难和社会危机，我们要认真吸取教训，务必提高警惕。根据当前世界范围森林火灾发生发展、林区物候情况及历史经验和政治形势判断，今年东北、华北地区秋冬防火形势仍十分严峻，加强东北、华北地区森林防火工作任何时候都不能麻痹大意、掉以轻心，更容不得在思想上、行动上、措施上有半点闪失。</w:t>
      </w:r>
    </w:p>
    <w:p w:rsidR="00B75A52" w:rsidRPr="00ED5BB4" w:rsidRDefault="00B75A52" w:rsidP="00A76F92">
      <w:pPr>
        <w:pStyle w:val="a8"/>
        <w:shd w:val="clear" w:color="auto" w:fill="FFFFFF"/>
        <w:spacing w:before="0" w:beforeAutospacing="0" w:after="0" w:afterAutospacing="0" w:line="392" w:lineRule="exact"/>
        <w:ind w:firstLineChars="196" w:firstLine="472"/>
        <w:jc w:val="both"/>
        <w:rPr>
          <w:rFonts w:ascii="仿宋_GB2312" w:eastAsia="仿宋_GB2312" w:hAnsi="仿宋"/>
          <w:b/>
        </w:rPr>
      </w:pPr>
      <w:r w:rsidRPr="003B6B1D">
        <w:rPr>
          <w:rFonts w:ascii="仿宋_GB2312" w:eastAsia="仿宋_GB2312" w:hAnsi="仿宋" w:hint="eastAsia"/>
          <w:b/>
        </w:rPr>
        <w:t>分析强调，要强化地方政府、行业部门、经营单位责任落实，营造群防群治的工作格局。要强化队伍培训、演练和物资储备、设施设备检修，切实做好秋冬季防火准备工作。要强化防火督导检查，重点围绕“生命至上、安全第一”理念提高督导效率。要强化重点地区和人员的火源管控措施，加大宣传教育力度，提升全社会防火意识。要强化防火道路、隔离带规划和建设，做好森林草原火灾风险普查工作。要强化应急值守，靠前驻防，一旦发现火灾要立即报告，做好火情早期处理相关工作。</w:t>
      </w:r>
    </w:p>
    <w:p w:rsidR="00C57619" w:rsidRPr="003B6B1D" w:rsidRDefault="00C57619" w:rsidP="00595E5D">
      <w:pPr>
        <w:pStyle w:val="ac"/>
        <w:spacing w:beforeLines="100" w:afterLines="100" w:line="392" w:lineRule="exact"/>
        <w:rPr>
          <w:rFonts w:ascii="黑体" w:eastAsia="黑体" w:hAnsi="黑体"/>
          <w:color w:val="4F6228" w:themeColor="accent3" w:themeShade="80"/>
          <w:sz w:val="30"/>
          <w:szCs w:val="30"/>
        </w:rPr>
      </w:pPr>
      <w:r w:rsidRPr="003B6B1D">
        <w:rPr>
          <w:rFonts w:ascii="黑体" w:eastAsia="黑体" w:hAnsi="黑体" w:hint="eastAsia"/>
          <w:color w:val="4F6228" w:themeColor="accent3" w:themeShade="80"/>
          <w:sz w:val="30"/>
          <w:szCs w:val="30"/>
        </w:rPr>
        <w:t>《三北工程政策体系架构研究》课题研讨会召开</w:t>
      </w:r>
    </w:p>
    <w:p w:rsidR="00C57619" w:rsidRPr="003B6B1D" w:rsidRDefault="00C57619" w:rsidP="00A76F92">
      <w:pPr>
        <w:pStyle w:val="a8"/>
        <w:shd w:val="clear" w:color="auto" w:fill="FFFFFF"/>
        <w:spacing w:before="0" w:beforeAutospacing="0" w:after="0" w:afterAutospacing="0" w:line="392" w:lineRule="exact"/>
        <w:ind w:firstLineChars="196" w:firstLine="472"/>
        <w:jc w:val="both"/>
        <w:rPr>
          <w:rFonts w:ascii="仿宋_GB2312" w:eastAsia="仿宋_GB2312" w:hAnsi="仿宋"/>
          <w:b/>
        </w:rPr>
      </w:pPr>
      <w:r w:rsidRPr="003B6B1D">
        <w:rPr>
          <w:rFonts w:ascii="仿宋_GB2312" w:eastAsia="仿宋_GB2312" w:hAnsi="仿宋" w:hint="eastAsia"/>
          <w:b/>
        </w:rPr>
        <w:t>国家林草局三北局日前召开《三北工程政策体系架构研究》课题研讨会，三北局分管副局长、课题组全体成员，以及兰州财经大学课题组负责人参加会议。</w:t>
      </w:r>
    </w:p>
    <w:p w:rsidR="00C57619" w:rsidRPr="003B6B1D" w:rsidRDefault="00C57619" w:rsidP="00ED5BB4">
      <w:pPr>
        <w:pStyle w:val="a8"/>
        <w:shd w:val="clear" w:color="auto" w:fill="FFFFFF"/>
        <w:spacing w:before="0" w:beforeAutospacing="0" w:after="0" w:afterAutospacing="0" w:line="392" w:lineRule="exact"/>
        <w:ind w:firstLine="480"/>
        <w:jc w:val="both"/>
        <w:rPr>
          <w:rFonts w:ascii="仿宋_GB2312" w:eastAsia="仿宋_GB2312" w:hAnsi="仿宋"/>
          <w:b/>
        </w:rPr>
      </w:pPr>
      <w:r w:rsidRPr="003B6B1D">
        <w:rPr>
          <w:rFonts w:ascii="仿宋_GB2312" w:eastAsia="仿宋_GB2312" w:hAnsi="仿宋" w:hint="eastAsia"/>
          <w:b/>
        </w:rPr>
        <w:t>会上，兰州财经大学课题组负责人就课题研究前期进展情况，以及各章节重点内容和研究思路进行了汇报，参会人员逐章逐节提出了修改完善意见。会议认为，三北工程经过40多年的持续建设，通过先行试点探索和后期经验总结，构建起了相对完</w:t>
      </w:r>
      <w:r w:rsidRPr="003B6B1D">
        <w:rPr>
          <w:rFonts w:ascii="仿宋_GB2312" w:eastAsia="仿宋_GB2312" w:hAnsi="仿宋" w:hint="eastAsia"/>
          <w:b/>
        </w:rPr>
        <w:lastRenderedPageBreak/>
        <w:t>善的工程政策体系，但还存在政策研究不够深入、思路不够开阔、举措不够创新等问题，通过开展三北工程政策体系架构研究，建立完善的三北工程政策评价体系，不仅能够科学评价三北工程相关政策制定的科学性和政策执行的有效性，还能为新时代三北工程高质量发展提供科学的决策依据。</w:t>
      </w:r>
    </w:p>
    <w:p w:rsidR="00C57619" w:rsidRPr="003B6B1D" w:rsidRDefault="00C57619" w:rsidP="00A76F92">
      <w:pPr>
        <w:pStyle w:val="2"/>
        <w:shd w:val="clear" w:color="auto" w:fill="FFFFFF"/>
        <w:spacing w:before="0" w:beforeAutospacing="0" w:after="0" w:afterAutospacing="0" w:line="392" w:lineRule="exact"/>
        <w:ind w:firstLineChars="196" w:firstLine="472"/>
        <w:rPr>
          <w:rFonts w:ascii="仿宋_GB2312" w:eastAsia="仿宋_GB2312" w:hAnsi="仿宋"/>
          <w:b/>
        </w:rPr>
      </w:pPr>
      <w:r w:rsidRPr="003B6B1D">
        <w:rPr>
          <w:rFonts w:ascii="仿宋_GB2312" w:eastAsia="仿宋_GB2312" w:hAnsi="仿宋" w:hint="eastAsia"/>
          <w:b/>
        </w:rPr>
        <w:t>会议要求，要根据林业和草原发展的新形势新任务新要求，增加林草碳汇、生物质能源、乡村振兴等方面的政策分析和执行评价，构建更加完善的三北工程政策体系；要本着节约、高效的原则，分不同地貌类型、不同治理重点，选取具有代表性的三北工程实践案例进行深入调查研究，分析三北工程政策体系在具体情境下的实施效果，增强课题研究针对性和指导性；要全面梳理三北工程建设中的相关政策措施，科学研判政策预期效果和各方面反应，深入剖析政策制定和执行方面存在的问题，寻找政策创新突破点，提出务实管用的对策建议，为推动新时代三北工程高质量发展提供有力的政策支撑。</w:t>
      </w:r>
    </w:p>
    <w:p w:rsidR="00520DA5" w:rsidRPr="003B6B1D" w:rsidRDefault="00520DA5" w:rsidP="00595E5D">
      <w:pPr>
        <w:pStyle w:val="2"/>
        <w:shd w:val="clear" w:color="auto" w:fill="FFFFFF"/>
        <w:spacing w:beforeLines="100" w:beforeAutospacing="0" w:afterLines="100" w:afterAutospacing="0" w:line="392" w:lineRule="exact"/>
        <w:jc w:val="center"/>
        <w:rPr>
          <w:rFonts w:ascii="黑体" w:eastAsia="黑体" w:hAnsi="黑体" w:cstheme="majorBidi"/>
          <w:b/>
          <w:bCs/>
          <w:color w:val="4F6228" w:themeColor="accent3" w:themeShade="80"/>
          <w:kern w:val="2"/>
          <w:sz w:val="30"/>
          <w:szCs w:val="30"/>
        </w:rPr>
      </w:pPr>
      <w:r w:rsidRPr="003B6B1D">
        <w:rPr>
          <w:rFonts w:ascii="黑体" w:eastAsia="黑体" w:hAnsi="黑体" w:cstheme="majorBidi" w:hint="eastAsia"/>
          <w:b/>
          <w:bCs/>
          <w:color w:val="4F6228" w:themeColor="accent3" w:themeShade="80"/>
          <w:kern w:val="2"/>
          <w:sz w:val="30"/>
          <w:szCs w:val="30"/>
        </w:rPr>
        <w:t>我国上半年新发生7处松材线虫病县级疫区</w:t>
      </w:r>
    </w:p>
    <w:p w:rsidR="00520DA5" w:rsidRPr="003B6B1D" w:rsidRDefault="00520DA5" w:rsidP="00ED5BB4">
      <w:pPr>
        <w:pStyle w:val="a8"/>
        <w:shd w:val="clear" w:color="auto" w:fill="FFFFFF"/>
        <w:spacing w:before="0" w:beforeAutospacing="0" w:after="0" w:afterAutospacing="0" w:line="392" w:lineRule="exact"/>
        <w:rPr>
          <w:rFonts w:ascii="仿宋_GB2312" w:eastAsia="仿宋_GB2312" w:hAnsi="仿宋"/>
          <w:b/>
        </w:rPr>
      </w:pPr>
      <w:r>
        <w:rPr>
          <w:rFonts w:ascii="仿宋" w:eastAsia="仿宋" w:hAnsi="仿宋" w:hint="eastAsia"/>
        </w:rPr>
        <w:t xml:space="preserve">   </w:t>
      </w:r>
      <w:r w:rsidRPr="00520DA5">
        <w:rPr>
          <w:rFonts w:ascii="仿宋" w:eastAsia="仿宋" w:hAnsi="仿宋" w:hint="eastAsia"/>
          <w:b/>
        </w:rPr>
        <w:t xml:space="preserve"> </w:t>
      </w:r>
      <w:r w:rsidRPr="003B6B1D">
        <w:rPr>
          <w:rFonts w:ascii="仿宋_GB2312" w:eastAsia="仿宋_GB2312" w:hAnsi="仿宋" w:hint="eastAsia"/>
          <w:b/>
        </w:rPr>
        <w:t>8月3日，国家林业和草原局发布2021年第14号公告，今年3月-7月，我国新发生7处松材线虫病县级疫区。</w:t>
      </w:r>
    </w:p>
    <w:p w:rsidR="00520DA5" w:rsidRPr="003B6B1D" w:rsidRDefault="00520DA5"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7处松材线虫病县级疫区分别是：吉林省通化市东昌区、延边朝鲜族自治州汪清县，广东省肇庆市四会市、清远市连南瑶族自治县，贵州省贵阳市乌当区，云南省昆明市西山区，甘肃省陇南市康县。</w:t>
      </w:r>
    </w:p>
    <w:p w:rsidR="000A192F" w:rsidRPr="003B6B1D" w:rsidRDefault="000A192F" w:rsidP="00595E5D">
      <w:pPr>
        <w:pStyle w:val="2"/>
        <w:shd w:val="clear" w:color="auto" w:fill="FFFFFF"/>
        <w:spacing w:beforeLines="100" w:beforeAutospacing="0" w:afterLines="100" w:afterAutospacing="0" w:line="392" w:lineRule="exact"/>
        <w:jc w:val="center"/>
        <w:rPr>
          <w:rFonts w:ascii="黑体" w:eastAsia="黑体" w:hAnsi="黑体" w:cstheme="majorBidi"/>
          <w:b/>
          <w:bCs/>
          <w:color w:val="4F6228" w:themeColor="accent3" w:themeShade="80"/>
          <w:kern w:val="2"/>
          <w:sz w:val="30"/>
          <w:szCs w:val="30"/>
        </w:rPr>
      </w:pPr>
      <w:r w:rsidRPr="003B6B1D">
        <w:rPr>
          <w:rFonts w:ascii="黑体" w:eastAsia="黑体" w:hAnsi="黑体" w:cstheme="majorBidi" w:hint="eastAsia"/>
          <w:b/>
          <w:bCs/>
          <w:color w:val="4F6228" w:themeColor="accent3" w:themeShade="80"/>
          <w:kern w:val="2"/>
          <w:sz w:val="30"/>
          <w:szCs w:val="30"/>
        </w:rPr>
        <w:t>吉林</w:t>
      </w:r>
      <w:r w:rsidR="00954332" w:rsidRPr="003B6B1D">
        <w:rPr>
          <w:rFonts w:ascii="黑体" w:eastAsia="黑体" w:hAnsi="黑体" w:cstheme="majorBidi" w:hint="eastAsia"/>
          <w:b/>
          <w:bCs/>
          <w:color w:val="4F6228" w:themeColor="accent3" w:themeShade="80"/>
          <w:kern w:val="2"/>
          <w:sz w:val="30"/>
          <w:szCs w:val="30"/>
        </w:rPr>
        <w:t>省</w:t>
      </w:r>
      <w:r w:rsidRPr="003B6B1D">
        <w:rPr>
          <w:rFonts w:ascii="黑体" w:eastAsia="黑体" w:hAnsi="黑体" w:cstheme="majorBidi" w:hint="eastAsia"/>
          <w:b/>
          <w:bCs/>
          <w:color w:val="4F6228" w:themeColor="accent3" w:themeShade="80"/>
          <w:kern w:val="2"/>
          <w:sz w:val="30"/>
          <w:szCs w:val="30"/>
        </w:rPr>
        <w:t>启动林草湿生态连通工程</w:t>
      </w:r>
    </w:p>
    <w:p w:rsidR="000A192F" w:rsidRPr="003B6B1D" w:rsidRDefault="000A192F" w:rsidP="00ED5BB4">
      <w:pPr>
        <w:pStyle w:val="a8"/>
        <w:shd w:val="clear" w:color="auto" w:fill="FFFFFF"/>
        <w:spacing w:before="0" w:beforeAutospacing="0" w:after="0" w:afterAutospacing="0" w:line="392" w:lineRule="exact"/>
        <w:rPr>
          <w:rFonts w:ascii="仿宋_GB2312" w:eastAsia="仿宋_GB2312" w:hAnsi="仿宋"/>
          <w:b/>
        </w:rPr>
      </w:pPr>
      <w:r w:rsidRPr="006369DD">
        <w:rPr>
          <w:rFonts w:asciiTheme="minorEastAsia" w:eastAsia="仿宋" w:hAnsiTheme="minorEastAsia" w:hint="eastAsia"/>
          <w:b/>
        </w:rPr>
        <w:t xml:space="preserve">   </w:t>
      </w:r>
      <w:r w:rsidR="006369DD" w:rsidRPr="006369DD">
        <w:rPr>
          <w:rFonts w:asciiTheme="minorEastAsia" w:eastAsia="仿宋" w:hAnsiTheme="minorEastAsia" w:hint="eastAsia"/>
          <w:b/>
        </w:rPr>
        <w:t xml:space="preserve"> </w:t>
      </w:r>
      <w:r w:rsidRPr="003B6B1D">
        <w:rPr>
          <w:rFonts w:ascii="仿宋_GB2312" w:eastAsia="仿宋_GB2312" w:hAnsi="仿宋" w:hint="eastAsia"/>
          <w:b/>
        </w:rPr>
        <w:t>吉林省委、省政府近日启动林草湿生态连通工程，将全面连通森林、草原、湿地三大生态空间和重要生态功能区，形成林网成格、草地连片、湿地镶嵌、交错互连的高颜值生态连通格局，恢复和改善生态系统的结构和功能，解决生态系统破碎化、生态孤岛化的问题。</w:t>
      </w:r>
    </w:p>
    <w:p w:rsidR="000A192F" w:rsidRPr="003B6B1D" w:rsidRDefault="000A192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吉林省林草湿生态连通工程将实施“绿满山川”森林植被恢复工程、“林廊环绕”防护林建设工程、“水草相依”草原湿地保护修复工程、“城乡一体”绿化美化工程、“精准提升”自然保护地管理工程、“生态惠民”产业发展工程、“智慧林草”信息化建设工程等七大工程建设。</w:t>
      </w:r>
    </w:p>
    <w:p w:rsidR="000A192F" w:rsidRPr="003B6B1D" w:rsidRDefault="000A192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具体措施包括，强化天然林保护修复，通过采取森林抚育、退化林修复、后备资源培育和林地清收等措施，逐步恢复长白山地带性森林植被顶级群落。持续推进生态防护廊道建设，重点以中西部为主，逐步解决残次林带、退化防护林改造更新和光杆路、光板河等问题，建成连通全省的绿色生态林网。持续对破碎化严重、功能退化的重要湿地草原进行修复和整治，整体提升草原湿地功能。重点开展村、水、路、宅“四旁”绿化、环村林建设以及庭院绿化等“见缝插绿”工程，建设一批森林小镇、森林</w:t>
      </w:r>
      <w:r w:rsidRPr="003B6B1D">
        <w:rPr>
          <w:rFonts w:ascii="仿宋_GB2312" w:eastAsia="仿宋_GB2312" w:hAnsi="仿宋" w:hint="eastAsia"/>
          <w:b/>
        </w:rPr>
        <w:lastRenderedPageBreak/>
        <w:t>乡村。推进各类自然保护地整合优化，建立以国家公园为主体、自然保护区为基础、各类自然公园为补充的自然保护地体系。在大力发展林下经济和经济林产业的同时，充分利用吉林省丰富的林草湿资源和良好生态，着力打造“吉林·中国国民森林休养地”，打响吉林国际旅游康养和长白山国家森林步道品牌，打造现代林草治理新模式。</w:t>
      </w:r>
    </w:p>
    <w:p w:rsidR="00954332" w:rsidRPr="00984926" w:rsidRDefault="00954332" w:rsidP="00595E5D">
      <w:pPr>
        <w:pStyle w:val="2"/>
        <w:shd w:val="clear" w:color="auto" w:fill="FFFFFF"/>
        <w:spacing w:beforeLines="100" w:beforeAutospacing="0" w:afterLines="100" w:afterAutospacing="0" w:line="392" w:lineRule="exact"/>
        <w:jc w:val="center"/>
        <w:rPr>
          <w:rFonts w:ascii="黑体" w:eastAsia="黑体" w:hAnsi="黑体"/>
          <w:b/>
          <w:sz w:val="30"/>
          <w:szCs w:val="30"/>
        </w:rPr>
      </w:pPr>
      <w:r w:rsidRPr="003B6B1D">
        <w:rPr>
          <w:rFonts w:ascii="黑体" w:eastAsia="黑体" w:hAnsi="黑体" w:cstheme="majorBidi" w:hint="eastAsia"/>
          <w:b/>
          <w:bCs/>
          <w:color w:val="4F6228" w:themeColor="accent3" w:themeShade="80"/>
          <w:kern w:val="2"/>
          <w:sz w:val="30"/>
          <w:szCs w:val="30"/>
        </w:rPr>
        <w:t>吉林省自然保护地数量面积实现双突破</w:t>
      </w:r>
    </w:p>
    <w:p w:rsidR="00954332" w:rsidRPr="003B6B1D" w:rsidRDefault="00954332" w:rsidP="00ED5BB4">
      <w:pPr>
        <w:pStyle w:val="a8"/>
        <w:shd w:val="clear" w:color="auto" w:fill="FFFFFF"/>
        <w:spacing w:before="0" w:beforeAutospacing="0" w:after="0" w:afterAutospacing="0" w:line="392" w:lineRule="exact"/>
        <w:rPr>
          <w:rFonts w:ascii="仿宋_GB2312" w:eastAsia="仿宋_GB2312" w:hAnsi="仿宋"/>
          <w:b/>
        </w:rPr>
      </w:pPr>
      <w:r w:rsidRPr="00984926">
        <w:rPr>
          <w:rFonts w:ascii="仿宋" w:eastAsia="仿宋" w:hAnsi="仿宋" w:hint="eastAsia"/>
          <w:b/>
        </w:rPr>
        <w:t xml:space="preserve">    </w:t>
      </w:r>
      <w:r w:rsidRPr="003B6B1D">
        <w:rPr>
          <w:rFonts w:ascii="仿宋_GB2312" w:eastAsia="仿宋_GB2312" w:hAnsi="仿宋" w:hint="eastAsia"/>
          <w:b/>
        </w:rPr>
        <w:t>吉林省目前共有自然保护地167个，面积319.2万公顷，占全省面积的16.69%，实现数量和面积双突破，初步形成了布局合理、类型齐全、功能完备的自然保护地体系。</w:t>
      </w:r>
    </w:p>
    <w:p w:rsidR="00954332" w:rsidRPr="003B6B1D" w:rsidRDefault="00954332"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2018年机构改革后，吉林各类自然保护地划归省林草部门统一管理。2019-2020年，吉林用两年时间开展全省自然保护地整合优化，有效破解管理矛盾和冲突，组织保护地开展勘边确界，明晰四至范围。启动保护地自然教育研学活动，探索保护生态和发展生态旅游相得益彰的有效途径，提升保护地综合保护能力。</w:t>
      </w:r>
    </w:p>
    <w:p w:rsidR="00954332" w:rsidRPr="003B6B1D" w:rsidRDefault="00954332"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目前，吉林以国家公园为主体、自然保护区为基础、各类自然公园为补充的自然保护地体系基本形成，自然保护地在保护自然生态系统原真性、完整性，保护野生动物及栖息地和野生植物原生地，保护自然遗迹，维护生物多样性等方面发挥了重要作用。国家重点保护物种东北虎豹、中华秋沙鸭、原麝、白鹤、大鸨、长白松、东北红豆杉、朝鲜崖柏、松茸等野生动物及栖息地和野生植物原生地均纳入保护地范围，全省野生动植物种群数量与质量得到显著提高。</w:t>
      </w:r>
    </w:p>
    <w:p w:rsidR="00954332" w:rsidRPr="003B6B1D" w:rsidRDefault="00954332"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1960年，吉林省建立首个自然保护地——长白山自然保护区。60年来，吉林省自然保护地从无到有、从小到大，数量日益增多，面积逐步扩大。特别是党的十八大以来，随着生态文明总体布局战略的实施，吉林省自然保护地建设进入快速发展期。</w:t>
      </w:r>
    </w:p>
    <w:p w:rsidR="000A192F" w:rsidRPr="003B6B1D" w:rsidRDefault="000A192F" w:rsidP="00595E5D">
      <w:pPr>
        <w:pStyle w:val="2"/>
        <w:shd w:val="clear" w:color="auto" w:fill="FFFFFF"/>
        <w:spacing w:beforeLines="100" w:beforeAutospacing="0" w:afterLines="100" w:afterAutospacing="0" w:line="392" w:lineRule="exact"/>
        <w:jc w:val="center"/>
        <w:rPr>
          <w:rFonts w:ascii="黑体" w:eastAsia="黑体" w:hAnsi="黑体" w:cstheme="majorBidi"/>
          <w:b/>
          <w:bCs/>
          <w:color w:val="4F6228" w:themeColor="accent3" w:themeShade="80"/>
          <w:kern w:val="2"/>
          <w:sz w:val="30"/>
          <w:szCs w:val="30"/>
        </w:rPr>
      </w:pPr>
      <w:r w:rsidRPr="003B6B1D">
        <w:rPr>
          <w:rFonts w:ascii="黑体" w:eastAsia="黑体" w:hAnsi="黑体" w:cstheme="majorBidi" w:hint="eastAsia"/>
          <w:b/>
          <w:bCs/>
          <w:color w:val="4F6228" w:themeColor="accent3" w:themeShade="80"/>
          <w:kern w:val="2"/>
          <w:sz w:val="30"/>
          <w:szCs w:val="30"/>
        </w:rPr>
        <w:t>《吉林省林业有害生物防治条例》10月施行</w:t>
      </w:r>
    </w:p>
    <w:p w:rsidR="000A192F" w:rsidRPr="003B6B1D" w:rsidRDefault="000A192F" w:rsidP="00A76F92">
      <w:pPr>
        <w:pStyle w:val="a8"/>
        <w:shd w:val="clear" w:color="auto" w:fill="FFFFFF"/>
        <w:spacing w:before="0" w:beforeAutospacing="0" w:after="0" w:afterAutospacing="0" w:line="392" w:lineRule="exact"/>
        <w:ind w:firstLineChars="200" w:firstLine="482"/>
        <w:rPr>
          <w:rFonts w:ascii="仿宋_GB2312" w:eastAsia="仿宋_GB2312" w:hAnsi="仿宋"/>
          <w:b/>
        </w:rPr>
      </w:pPr>
      <w:r w:rsidRPr="003B6B1D">
        <w:rPr>
          <w:rFonts w:ascii="仿宋_GB2312" w:eastAsia="仿宋_GB2312" w:hAnsi="仿宋" w:hint="eastAsia"/>
          <w:b/>
        </w:rPr>
        <w:t>日前，《吉林省林业有害生物防治条例》由吉林省第十三届人民代表大会常务委员会第二十九次会议审议通过，自2021年10月1日起施行。</w:t>
      </w:r>
    </w:p>
    <w:p w:rsidR="000A192F" w:rsidRPr="003B6B1D" w:rsidRDefault="000A192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条例》共8章62条，规定了防治林业有害生物的责任制度、财政来源、机构建立、联防联控、考核机制、宣传教育、监测预报、专项调查、检疫检查、疫区界定、预防除治、保障措施、监督检查、法律责任等方面的具体事项。</w:t>
      </w:r>
    </w:p>
    <w:p w:rsidR="000A192F" w:rsidRPr="003B6B1D" w:rsidRDefault="000A192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条例》要求，林业有害生物防治实行目标责任制，建立考核评价制度，纳入林长制考核体系。每年4月第3周为林业有害生物防治宣传周。禁止使用携带检疫性、危险性林业有害生物的林木种子、苗木和其他繁殖材料进行育苗、造林。禁止擅自开拆产品包装调换林业植物及其产品，或者擅自改变林业植物及其产品规定的用途。禁止从松材线虫病疫区调运松科植物及其制品。禁止从美国白蛾疫区调运带土坨的苗木、</w:t>
      </w:r>
      <w:r w:rsidRPr="003B6B1D">
        <w:rPr>
          <w:rFonts w:ascii="仿宋_GB2312" w:eastAsia="仿宋_GB2312" w:hAnsi="仿宋" w:hint="eastAsia"/>
          <w:b/>
        </w:rPr>
        <w:lastRenderedPageBreak/>
        <w:t>树木。违反条例规定，造成生态损害的，依法承担生态损害赔偿责任。构成违反治安管理行为的，依法给予治安管理处罚。构成犯罪的，依法追究刑事责任。</w:t>
      </w:r>
    </w:p>
    <w:p w:rsidR="00520DA5" w:rsidRDefault="00CE1A0E" w:rsidP="00ED5BB4">
      <w:pPr>
        <w:pStyle w:val="a8"/>
        <w:shd w:val="clear" w:color="auto" w:fill="FFFFFF"/>
        <w:spacing w:before="0" w:beforeAutospacing="0" w:after="0" w:afterAutospacing="0" w:line="392" w:lineRule="exact"/>
        <w:rPr>
          <w:rFonts w:ascii="仿宋" w:eastAsia="仿宋" w:hAnsi="仿宋"/>
          <w:b/>
        </w:rPr>
      </w:pPr>
      <w:r w:rsidRPr="00CE1A0E">
        <w:rPr>
          <w:rFonts w:ascii="仿宋_GB2312" w:eastAsia="仿宋_GB2312" w:hAnsi="仿宋"/>
          <w:bCs/>
          <w:color w:val="000000"/>
          <w:sz w:val="32"/>
          <w:szCs w:val="32"/>
        </w:rPr>
        <w:pict>
          <v:shape id="_x0000_s2078" type="#_x0000_t98" style="position:absolute;margin-left:7.05pt;margin-top:10.9pt;width:91.5pt;height:50pt;z-index:251672576">
            <v:textbox style="mso-next-textbox:#_x0000_s2078">
              <w:txbxContent>
                <w:p w:rsidR="00D4341F" w:rsidRPr="004201D8" w:rsidRDefault="00D4341F" w:rsidP="008E2BA2">
                  <w:pPr>
                    <w:rPr>
                      <w:b/>
                      <w:color w:val="984806" w:themeColor="accent6" w:themeShade="80"/>
                      <w:sz w:val="32"/>
                      <w:szCs w:val="32"/>
                    </w:rPr>
                  </w:pPr>
                  <w:r w:rsidRPr="004201D8">
                    <w:rPr>
                      <w:rFonts w:hint="eastAsia"/>
                      <w:b/>
                      <w:color w:val="984806" w:themeColor="accent6" w:themeShade="80"/>
                      <w:sz w:val="32"/>
                      <w:szCs w:val="32"/>
                    </w:rPr>
                    <w:t>科技资讯</w:t>
                  </w:r>
                </w:p>
              </w:txbxContent>
            </v:textbox>
          </v:shape>
        </w:pict>
      </w:r>
    </w:p>
    <w:p w:rsidR="00520DA5" w:rsidRDefault="00520DA5" w:rsidP="000C5AD4">
      <w:pPr>
        <w:pStyle w:val="ac"/>
        <w:rPr>
          <w:rStyle w:val="h1title"/>
          <w:rFonts w:ascii="黑体" w:eastAsia="黑体" w:hAnsi="黑体"/>
          <w:bCs w:val="0"/>
          <w:sz w:val="30"/>
          <w:szCs w:val="30"/>
        </w:rPr>
      </w:pPr>
    </w:p>
    <w:p w:rsidR="00B75A52" w:rsidRPr="00C57619" w:rsidRDefault="00975B1D" w:rsidP="00595E5D">
      <w:pPr>
        <w:pStyle w:val="ac"/>
        <w:spacing w:beforeLines="50" w:afterLines="100" w:line="392" w:lineRule="exact"/>
        <w:rPr>
          <w:rFonts w:ascii="黑体" w:eastAsia="黑体" w:hAnsi="黑体"/>
          <w:sz w:val="30"/>
          <w:szCs w:val="30"/>
        </w:rPr>
      </w:pPr>
      <w:r w:rsidRPr="003B6B1D">
        <w:rPr>
          <w:rFonts w:ascii="黑体" w:eastAsia="黑体" w:hAnsi="黑体" w:hint="eastAsia"/>
          <w:bCs w:val="0"/>
          <w:color w:val="4F6228" w:themeColor="accent3" w:themeShade="80"/>
          <w:sz w:val="30"/>
          <w:szCs w:val="30"/>
        </w:rPr>
        <w:t>“</w:t>
      </w:r>
      <w:r w:rsidR="00B75A52" w:rsidRPr="003B6B1D">
        <w:rPr>
          <w:rFonts w:ascii="黑体" w:eastAsia="黑体" w:hAnsi="黑体" w:hint="eastAsia"/>
          <w:bCs w:val="0"/>
          <w:color w:val="4F6228" w:themeColor="accent3" w:themeShade="80"/>
          <w:sz w:val="30"/>
          <w:szCs w:val="30"/>
        </w:rPr>
        <w:t>东北天然次生林抚育更新技术研究与示范”完成课题查定</w:t>
      </w:r>
    </w:p>
    <w:p w:rsidR="00144866" w:rsidRPr="003B6B1D" w:rsidRDefault="00B75A52" w:rsidP="00ED5BB4">
      <w:pPr>
        <w:pStyle w:val="a8"/>
        <w:shd w:val="clear" w:color="auto" w:fill="FFFFFF"/>
        <w:spacing w:before="0" w:beforeAutospacing="0" w:after="0" w:afterAutospacing="0" w:line="392" w:lineRule="exact"/>
        <w:ind w:firstLine="480"/>
        <w:rPr>
          <w:rFonts w:ascii="仿宋_GB2312" w:eastAsia="仿宋_GB2312" w:hAnsi="仿宋"/>
          <w:b/>
        </w:rPr>
      </w:pPr>
      <w:r w:rsidRPr="003B6B1D">
        <w:rPr>
          <w:rFonts w:ascii="仿宋_GB2312" w:eastAsia="仿宋_GB2312" w:hAnsi="仿宋" w:hint="eastAsia"/>
          <w:b/>
        </w:rPr>
        <w:t>7月22日-8月10日，中国林科院资源所组织专家采用现场和线上视频相结合的方式对承担的国家重点研发计划项目“东北天然次生林抚育更新技术研究与示范”所属6个课题进行了现场查定。</w:t>
      </w:r>
    </w:p>
    <w:p w:rsidR="00B75A52" w:rsidRPr="003B6B1D" w:rsidRDefault="00B75A52" w:rsidP="00ED5BB4">
      <w:pPr>
        <w:pStyle w:val="a8"/>
        <w:shd w:val="clear" w:color="auto" w:fill="FFFFFF"/>
        <w:spacing w:before="0" w:beforeAutospacing="0" w:after="0" w:afterAutospacing="0" w:line="392" w:lineRule="exact"/>
        <w:ind w:firstLine="480"/>
        <w:rPr>
          <w:rFonts w:ascii="仿宋_GB2312" w:eastAsia="仿宋_GB2312" w:hAnsi="仿宋"/>
          <w:b/>
        </w:rPr>
      </w:pPr>
      <w:r w:rsidRPr="003B6B1D">
        <w:rPr>
          <w:rFonts w:ascii="仿宋_GB2312" w:eastAsia="仿宋_GB2312" w:hAnsi="仿宋" w:hint="eastAsia"/>
          <w:b/>
        </w:rPr>
        <w:t>查定专家组由来自中国科学院植物研究所、中国科学院沈阳应用生态研究所、东北林业大学、北京林业大学、北华大学、国家林业和草原局调查规划设计院、中国林业科学研究院、吉林省林草局天然林保护管理局、黑龙江省林业科学研究所、黑龙江省林业设计研究院、黑龙江省自然资源权益调查监测院11家单位的专家组成。专家组进行了示范区实地核查、视频查验、技术资料审阅、观摩决策系统运行操作，听取了课题执行情况详细汇报，经充分质询后，一致同意各课题通过查定，并对课题取得的研究成果给予高度肯定。</w:t>
      </w:r>
    </w:p>
    <w:p w:rsidR="00B75A52" w:rsidRPr="003B6B1D" w:rsidRDefault="00B75A52" w:rsidP="00ED5BB4">
      <w:pPr>
        <w:pStyle w:val="a8"/>
        <w:shd w:val="clear" w:color="auto" w:fill="FFFFFF"/>
        <w:spacing w:before="0" w:beforeAutospacing="0" w:after="0" w:afterAutospacing="0" w:line="392" w:lineRule="exact"/>
        <w:ind w:firstLine="480"/>
        <w:rPr>
          <w:rFonts w:ascii="仿宋_GB2312" w:eastAsia="仿宋_GB2312" w:hAnsi="仿宋"/>
          <w:b/>
        </w:rPr>
      </w:pPr>
      <w:r w:rsidRPr="003B6B1D">
        <w:rPr>
          <w:rFonts w:ascii="仿宋_GB2312" w:eastAsia="仿宋_GB2312" w:hAnsi="仿宋" w:hint="eastAsia"/>
          <w:b/>
        </w:rPr>
        <w:t>项目负责人对查定工作进行了总结，并从任务完成情况细化、试验示范区落地展示、创新成果凝练等方面提出了课题绩效自评价报告完善意见，同时针对课题综合绩效评价和项目验收提出了下阶段工作重点。</w:t>
      </w:r>
    </w:p>
    <w:p w:rsidR="00B75A52" w:rsidRDefault="00C57619" w:rsidP="00ED5BB4">
      <w:pPr>
        <w:pStyle w:val="2"/>
        <w:shd w:val="clear" w:color="auto" w:fill="FFFFFF"/>
        <w:spacing w:before="0" w:beforeAutospacing="0" w:after="0" w:afterAutospacing="0" w:line="392" w:lineRule="exact"/>
        <w:rPr>
          <w:rFonts w:ascii="仿宋" w:eastAsia="仿宋" w:hAnsi="仿宋"/>
          <w:b/>
        </w:rPr>
      </w:pPr>
      <w:r w:rsidRPr="003B6B1D">
        <w:rPr>
          <w:rFonts w:ascii="仿宋_GB2312" w:eastAsia="仿宋_GB2312" w:hAnsi="仿宋" w:hint="eastAsia"/>
          <w:b/>
        </w:rPr>
        <w:t xml:space="preserve">    </w:t>
      </w:r>
      <w:r w:rsidR="00B75A52" w:rsidRPr="003B6B1D">
        <w:rPr>
          <w:rFonts w:ascii="仿宋_GB2312" w:eastAsia="仿宋_GB2312" w:hAnsi="仿宋" w:hint="eastAsia"/>
          <w:b/>
        </w:rPr>
        <w:t>本项目自2017年7月启动以来，经过4年的试验研究和应用示范，在吉林省汪清林业局、黑龙江省新林林业局等地建成天然次生林抚育更新试验示范基地5个，在吉林汪清金沟岭林场等15个林场完成示范面积1835.21公顷，对东北林区天然次生林恢复和保护提供了适用技术和范例，对提升天然次生林生产力和生态系统服务功能具有重要意义。</w:t>
      </w:r>
    </w:p>
    <w:p w:rsidR="000A192F" w:rsidRPr="003B6B1D" w:rsidRDefault="000A192F" w:rsidP="00595E5D">
      <w:pPr>
        <w:pStyle w:val="2"/>
        <w:shd w:val="clear" w:color="auto" w:fill="FFFFFF"/>
        <w:spacing w:beforeLines="100" w:beforeAutospacing="0" w:afterLines="100" w:afterAutospacing="0" w:line="392" w:lineRule="exact"/>
        <w:jc w:val="center"/>
        <w:rPr>
          <w:rFonts w:ascii="黑体" w:eastAsia="黑体" w:hAnsi="黑体" w:cstheme="majorBidi"/>
          <w:b/>
          <w:color w:val="4F6228" w:themeColor="accent3" w:themeShade="80"/>
          <w:kern w:val="2"/>
          <w:sz w:val="30"/>
          <w:szCs w:val="30"/>
        </w:rPr>
      </w:pPr>
      <w:r w:rsidRPr="003B6B1D">
        <w:rPr>
          <w:rFonts w:ascii="黑体" w:eastAsia="黑体" w:hAnsi="黑体" w:cstheme="majorBidi" w:hint="eastAsia"/>
          <w:b/>
          <w:color w:val="4F6228" w:themeColor="accent3" w:themeShade="80"/>
          <w:kern w:val="2"/>
          <w:sz w:val="30"/>
          <w:szCs w:val="30"/>
        </w:rPr>
        <w:t>再生纺织纤维木竹基复合板通过鉴定</w:t>
      </w:r>
    </w:p>
    <w:p w:rsidR="000A192F" w:rsidRPr="003B6B1D" w:rsidRDefault="000A192F" w:rsidP="00ED5BB4">
      <w:pPr>
        <w:pStyle w:val="a8"/>
        <w:shd w:val="clear" w:color="auto" w:fill="FFFFFF"/>
        <w:spacing w:before="0" w:beforeAutospacing="0" w:after="0" w:afterAutospacing="0" w:line="392" w:lineRule="exact"/>
        <w:rPr>
          <w:rFonts w:ascii="仿宋_GB2312" w:eastAsia="仿宋_GB2312" w:hAnsi="仿宋"/>
          <w:b/>
        </w:rPr>
      </w:pPr>
      <w:r w:rsidRPr="000A192F">
        <w:rPr>
          <w:rFonts w:asciiTheme="minorEastAsia" w:eastAsia="仿宋" w:hAnsiTheme="minorEastAsia" w:hint="eastAsia"/>
          <w:b/>
        </w:rPr>
        <w:t xml:space="preserve">  </w:t>
      </w:r>
      <w:r w:rsidR="00C57619">
        <w:rPr>
          <w:rFonts w:asciiTheme="minorEastAsia" w:eastAsia="仿宋" w:hAnsiTheme="minorEastAsia" w:hint="eastAsia"/>
          <w:b/>
        </w:rPr>
        <w:t xml:space="preserve"> </w:t>
      </w:r>
      <w:r w:rsidRPr="000A192F">
        <w:rPr>
          <w:rFonts w:asciiTheme="minorEastAsia" w:eastAsia="仿宋" w:hAnsiTheme="minorEastAsia" w:hint="eastAsia"/>
          <w:b/>
        </w:rPr>
        <w:t> </w:t>
      </w:r>
      <w:r w:rsidRPr="003B6B1D">
        <w:rPr>
          <w:rFonts w:ascii="仿宋_GB2312" w:eastAsia="仿宋_GB2312" w:hAnsi="仿宋" w:hint="eastAsia"/>
          <w:b/>
        </w:rPr>
        <w:t>日</w:t>
      </w:r>
      <w:r w:rsidR="00C57619" w:rsidRPr="003B6B1D">
        <w:rPr>
          <w:rFonts w:ascii="仿宋_GB2312" w:eastAsia="仿宋_GB2312" w:hAnsi="仿宋" w:hint="eastAsia"/>
          <w:b/>
        </w:rPr>
        <w:t>前</w:t>
      </w:r>
      <w:r w:rsidRPr="003B6B1D">
        <w:rPr>
          <w:rFonts w:ascii="仿宋_GB2312" w:eastAsia="仿宋_GB2312" w:hAnsi="仿宋" w:hint="eastAsia"/>
          <w:b/>
        </w:rPr>
        <w:t>，宁波朴锐环保科技有限公司、中国林业科学研究院木材工业研究所和黑龙江省林业科学院木材科学研究所联合研发的“建筑模板用再生纺织纤维木竹基复合板”通过了新产品鉴定。专家一致认为，该产品具有创新性，达到国际领先水平。</w:t>
      </w:r>
    </w:p>
    <w:p w:rsidR="000A192F" w:rsidRPr="003B6B1D" w:rsidRDefault="000A192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建筑模板用再生纺织纤维木竹基复合板是以纺织废料和木材刨花、竹纤维等为主要材料加工而成的，与普通木材为原料的建筑模板相比，具有尺寸稳定性好、重复使用率高、成本低等特点。</w:t>
      </w:r>
    </w:p>
    <w:p w:rsidR="000A192F" w:rsidRDefault="000A192F" w:rsidP="00ED5BB4">
      <w:pPr>
        <w:pStyle w:val="a8"/>
        <w:shd w:val="clear" w:color="auto" w:fill="FFFFFF"/>
        <w:spacing w:before="0" w:beforeAutospacing="0" w:after="0" w:afterAutospacing="0" w:line="392" w:lineRule="exact"/>
        <w:ind w:firstLine="480"/>
        <w:rPr>
          <w:rFonts w:ascii="仿宋_GB2312" w:eastAsia="仿宋_GB2312" w:hAnsi="仿宋"/>
          <w:b/>
        </w:rPr>
      </w:pPr>
      <w:r w:rsidRPr="003B6B1D">
        <w:rPr>
          <w:rFonts w:ascii="仿宋_GB2312" w:eastAsia="仿宋_GB2312" w:hAnsi="仿宋" w:hint="eastAsia"/>
          <w:b/>
        </w:rPr>
        <w:lastRenderedPageBreak/>
        <w:t>专家认为，该复合板开发了无差别纺织剩余物再生纤维制备技术、再生纤维界面调控技术、木竹纤维与再生纺织纤维均匀混合技术，实现了一次覆面热压成型建筑模板用再生纺织纤维木竹基复合板制备。</w:t>
      </w:r>
    </w:p>
    <w:p w:rsidR="000A192F" w:rsidRPr="003B6B1D" w:rsidRDefault="000A192F" w:rsidP="00595E5D">
      <w:pPr>
        <w:pStyle w:val="a8"/>
        <w:shd w:val="clear" w:color="auto" w:fill="FFFFFF"/>
        <w:spacing w:beforeLines="80" w:beforeAutospacing="0" w:afterLines="80" w:afterAutospacing="0" w:line="392" w:lineRule="exact"/>
        <w:jc w:val="center"/>
        <w:rPr>
          <w:rFonts w:ascii="黑体" w:eastAsia="黑体" w:hAnsi="黑体" w:cstheme="majorBidi"/>
          <w:b/>
          <w:color w:val="4F6228" w:themeColor="accent3" w:themeShade="80"/>
          <w:kern w:val="2"/>
          <w:sz w:val="30"/>
          <w:szCs w:val="30"/>
        </w:rPr>
      </w:pPr>
      <w:r w:rsidRPr="003B6B1D">
        <w:rPr>
          <w:rFonts w:ascii="黑体" w:eastAsia="黑体" w:hAnsi="黑体" w:cstheme="majorBidi" w:hint="eastAsia"/>
          <w:b/>
          <w:color w:val="4F6228" w:themeColor="accent3" w:themeShade="80"/>
          <w:kern w:val="2"/>
          <w:sz w:val="30"/>
          <w:szCs w:val="30"/>
        </w:rPr>
        <w:t>两款新型重组竹用设备达到国际领先水平</w:t>
      </w:r>
    </w:p>
    <w:p w:rsidR="000A192F" w:rsidRPr="003B6B1D" w:rsidRDefault="000A192F" w:rsidP="00ED5BB4">
      <w:pPr>
        <w:pStyle w:val="a8"/>
        <w:shd w:val="clear" w:color="auto" w:fill="FFFFFF"/>
        <w:spacing w:before="0" w:beforeAutospacing="0" w:after="0" w:afterAutospacing="0" w:line="392" w:lineRule="exact"/>
        <w:rPr>
          <w:rFonts w:ascii="仿宋_GB2312" w:eastAsia="仿宋_GB2312" w:hAnsi="仿宋"/>
          <w:b/>
        </w:rPr>
      </w:pPr>
      <w:r>
        <w:rPr>
          <w:rFonts w:asciiTheme="minorEastAsia" w:eastAsia="仿宋" w:hAnsiTheme="minorEastAsia" w:hint="eastAsia"/>
        </w:rPr>
        <w:t xml:space="preserve">   </w:t>
      </w:r>
      <w:r w:rsidRPr="00BE57E4">
        <w:rPr>
          <w:rFonts w:asciiTheme="minorEastAsia" w:eastAsia="仿宋" w:hAnsiTheme="minorEastAsia" w:hint="eastAsia"/>
        </w:rPr>
        <w:t> </w:t>
      </w:r>
      <w:r w:rsidRPr="003B6B1D">
        <w:rPr>
          <w:rFonts w:ascii="仿宋_GB2312" w:eastAsia="仿宋_GB2312" w:hAnsi="仿宋" w:hint="eastAsia"/>
          <w:b/>
        </w:rPr>
        <w:t>日</w:t>
      </w:r>
      <w:r w:rsidR="008A5C59" w:rsidRPr="003B6B1D">
        <w:rPr>
          <w:rFonts w:ascii="仿宋_GB2312" w:eastAsia="仿宋_GB2312" w:hAnsi="仿宋" w:hint="eastAsia"/>
          <w:b/>
        </w:rPr>
        <w:t>前</w:t>
      </w:r>
      <w:r w:rsidRPr="003B6B1D">
        <w:rPr>
          <w:rFonts w:ascii="仿宋_GB2312" w:eastAsia="仿宋_GB2312" w:hAnsi="仿宋" w:hint="eastAsia"/>
          <w:b/>
        </w:rPr>
        <w:t>，中国林产工业协会组织专家对安吉县孝丰天友竹木机械制造厂和中国林科院木材工业研究所联合研发的“竹材重组单元连续化精准疏解机”“重组竹用疏解单元连续整张化制备装备”进行新产品鉴定，产品均达到国际领先水平。</w:t>
      </w:r>
    </w:p>
    <w:p w:rsidR="000A192F" w:rsidRPr="003B6B1D" w:rsidRDefault="000A192F"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中国林科院木工所专家介绍，现有单元制备工段存在劳动强度大、生产效率低等问题，竹材重组单元连续化精准疏解机创新设计了双弹簧加压结构、跳刀结构、竹片自动翻面系统，集成重组单元青面仿形去除、展平青黄破坏、翻面往返运输和精细疏解加工于一体，实现了竹材重组单元的连续化生产和高效制备。针对现有组坯成型过程中存在铺装均匀性差与劳动效率低等问题，开发了重组竹用疏解单元连续整张化制备装备，将疏解后的竹片进行一片片连线编制，实现整张化，然后根据加工要求定宽锯切，使产品更加规整均匀，降低人工成本并提高效益。开发了输送机构差速异步、绗缝机构铺缝控制和整张化自适应裁解控制技术，实现了重组竹用疏解单元的连续整张化精准制备。</w:t>
      </w:r>
    </w:p>
    <w:p w:rsidR="000C5AD4" w:rsidRPr="003B6B1D" w:rsidRDefault="000C5AD4" w:rsidP="00595E5D">
      <w:pPr>
        <w:pStyle w:val="2"/>
        <w:shd w:val="clear" w:color="auto" w:fill="FFFFFF"/>
        <w:spacing w:beforeLines="80" w:beforeAutospacing="0" w:afterLines="80" w:afterAutospacing="0" w:line="392" w:lineRule="exact"/>
        <w:jc w:val="center"/>
        <w:rPr>
          <w:rFonts w:ascii="黑体" w:eastAsia="黑体" w:hAnsi="黑体" w:cstheme="majorBidi"/>
          <w:b/>
          <w:color w:val="4F6228" w:themeColor="accent3" w:themeShade="80"/>
          <w:kern w:val="2"/>
          <w:sz w:val="30"/>
          <w:szCs w:val="30"/>
        </w:rPr>
      </w:pPr>
      <w:r w:rsidRPr="003B6B1D">
        <w:rPr>
          <w:rFonts w:ascii="黑体" w:eastAsia="黑体" w:hAnsi="黑体" w:cstheme="majorBidi" w:hint="eastAsia"/>
          <w:b/>
          <w:color w:val="4F6228" w:themeColor="accent3" w:themeShade="80"/>
          <w:kern w:val="2"/>
          <w:sz w:val="30"/>
          <w:szCs w:val="30"/>
        </w:rPr>
        <w:t>黑龙江成立林草碳汇专家咨询委员会</w:t>
      </w:r>
    </w:p>
    <w:p w:rsidR="000C5AD4" w:rsidRPr="003B6B1D" w:rsidRDefault="000C5AD4" w:rsidP="00ED5BB4">
      <w:pPr>
        <w:pStyle w:val="a8"/>
        <w:shd w:val="clear" w:color="auto" w:fill="FFFFFF"/>
        <w:spacing w:before="0" w:beforeAutospacing="0" w:after="0" w:afterAutospacing="0" w:line="392" w:lineRule="exact"/>
        <w:rPr>
          <w:rFonts w:ascii="仿宋_GB2312" w:eastAsia="仿宋_GB2312" w:hAnsi="仿宋"/>
          <w:b/>
        </w:rPr>
      </w:pPr>
      <w:r w:rsidRPr="00F626DD">
        <w:rPr>
          <w:rFonts w:ascii="仿宋" w:eastAsia="仿宋" w:hAnsi="仿宋" w:hint="eastAsia"/>
          <w:b/>
        </w:rPr>
        <w:t xml:space="preserve">    </w:t>
      </w:r>
      <w:r w:rsidRPr="003B6B1D">
        <w:rPr>
          <w:rFonts w:ascii="仿宋_GB2312" w:eastAsia="仿宋_GB2312" w:hAnsi="仿宋" w:hint="eastAsia"/>
          <w:b/>
        </w:rPr>
        <w:t>8月5日，黑龙江省林草碳汇专家咨询委员会在哈尔滨成立。</w:t>
      </w:r>
    </w:p>
    <w:p w:rsidR="000C5AD4" w:rsidRPr="003B6B1D" w:rsidRDefault="000C5AD4"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黑龙江省林草局选聘了13位专家学者，搭建起专家咨询委员会平台。专家咨询委员会将从全省林草碳汇事业科学健康发展的战略高度提供专业咨询，关注碳汇各项重点、难点工作，进一步提升林草碳汇发展重大决策科学化水平，加快推动黑龙江林草碳汇事业高质量发展。</w:t>
      </w:r>
    </w:p>
    <w:p w:rsidR="000C5AD4" w:rsidRPr="003B6B1D" w:rsidRDefault="000C5AD4" w:rsidP="00ED5BB4">
      <w:pPr>
        <w:pStyle w:val="a8"/>
        <w:shd w:val="clear" w:color="auto" w:fill="FFFFFF"/>
        <w:spacing w:before="0" w:beforeAutospacing="0" w:after="0" w:afterAutospacing="0" w:line="392" w:lineRule="exact"/>
        <w:rPr>
          <w:rFonts w:ascii="仿宋_GB2312" w:eastAsia="仿宋_GB2312" w:hAnsi="仿宋"/>
          <w:b/>
        </w:rPr>
      </w:pPr>
      <w:r w:rsidRPr="003B6B1D">
        <w:rPr>
          <w:rFonts w:ascii="仿宋_GB2312" w:eastAsia="仿宋_GB2312" w:hAnsi="仿宋" w:hint="eastAsia"/>
          <w:b/>
        </w:rPr>
        <w:t xml:space="preserve">　　近年来，黑龙江林草行业持续推进国土绿化，深入实施重点生态工程，全面加强林草资源管护，积极营造碳汇林、实施森林经营增汇，森林、草原、湿地等生态系统碳汇能力不断增强。全国第九次森林资源清查显示，黑龙江省森林植被碳储量达9.288亿吨，约占全国的10.1%。“十三五”时期，全省新增碳储量1.463亿吨，年均增加约2926万吨。</w:t>
      </w:r>
    </w:p>
    <w:p w:rsidR="00552B4C" w:rsidRDefault="00CE1A0E" w:rsidP="00595E5D">
      <w:pPr>
        <w:pStyle w:val="2"/>
        <w:shd w:val="clear" w:color="auto" w:fill="FFFFFF"/>
        <w:spacing w:beforeLines="50" w:beforeAutospacing="0" w:afterLines="50" w:afterAutospacing="0" w:line="400" w:lineRule="exact"/>
        <w:jc w:val="center"/>
        <w:rPr>
          <w:rFonts w:ascii="仿宋" w:eastAsia="仿宋" w:hAnsi="仿宋"/>
          <w:b/>
        </w:rPr>
      </w:pPr>
      <w:r w:rsidRPr="00CE1A0E">
        <w:rPr>
          <w:rFonts w:asciiTheme="minorEastAsia" w:eastAsiaTheme="minorEastAsia" w:hAnsiTheme="minorEastAsia"/>
          <w:b/>
          <w:bCs/>
          <w:noProof/>
          <w:color w:val="4F6228" w:themeColor="accent3" w:themeShade="80"/>
          <w:sz w:val="30"/>
          <w:szCs w:val="30"/>
        </w:rPr>
        <w:pict>
          <v:shape id="_x0000_s2106" type="#_x0000_t98" style="position:absolute;left:0;text-align:left;margin-left:-1.2pt;margin-top:8.05pt;width:91.5pt;height:50pt;z-index:251686912">
            <v:textbox style="mso-next-textbox:#_x0000_s2106">
              <w:txbxContent>
                <w:p w:rsidR="00807572" w:rsidRPr="004201D8" w:rsidRDefault="00807572" w:rsidP="00807572">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807572" w:rsidRDefault="004112B6" w:rsidP="00595E5D">
      <w:pPr>
        <w:pStyle w:val="2"/>
        <w:shd w:val="clear" w:color="auto" w:fill="FFFFFF"/>
        <w:spacing w:beforeLines="50" w:beforeAutospacing="0" w:afterLines="50" w:afterAutospacing="0" w:line="400" w:lineRule="exact"/>
        <w:jc w:val="center"/>
        <w:rPr>
          <w:rFonts w:ascii="仿宋" w:eastAsia="仿宋" w:hAnsi="仿宋"/>
          <w:color w:val="000000"/>
        </w:rPr>
      </w:pPr>
      <w:r w:rsidRPr="00345ACB">
        <w:rPr>
          <w:rFonts w:ascii="仿宋" w:eastAsia="仿宋" w:hAnsi="仿宋" w:hint="eastAsia"/>
          <w:b/>
        </w:rPr>
        <w:t xml:space="preserve">　</w:t>
      </w:r>
    </w:p>
    <w:p w:rsidR="00552B4C" w:rsidRPr="003B6B1D" w:rsidRDefault="00552B4C" w:rsidP="00595E5D">
      <w:pPr>
        <w:spacing w:beforeLines="20" w:afterLines="50" w:line="392" w:lineRule="exact"/>
        <w:jc w:val="center"/>
        <w:rPr>
          <w:rFonts w:ascii="黑体" w:eastAsia="黑体" w:hAnsi="黑体" w:cstheme="majorBidi"/>
          <w:b/>
          <w:color w:val="4F6228" w:themeColor="accent3" w:themeShade="80"/>
          <w:sz w:val="30"/>
          <w:szCs w:val="30"/>
        </w:rPr>
      </w:pPr>
      <w:r w:rsidRPr="003B6B1D">
        <w:rPr>
          <w:rFonts w:ascii="黑体" w:eastAsia="黑体" w:hAnsi="黑体" w:cstheme="majorBidi" w:hint="eastAsia"/>
          <w:b/>
          <w:color w:val="4F6228" w:themeColor="accent3" w:themeShade="80"/>
          <w:sz w:val="30"/>
          <w:szCs w:val="30"/>
        </w:rPr>
        <w:t>联合国推出首个用于快速核算自然资本的人工智能工具</w:t>
      </w:r>
    </w:p>
    <w:p w:rsidR="00552B4C" w:rsidRPr="003B6B1D" w:rsidRDefault="00552B4C" w:rsidP="00ED5BB4">
      <w:pPr>
        <w:widowControl/>
        <w:spacing w:line="392" w:lineRule="exact"/>
        <w:rPr>
          <w:rFonts w:ascii="仿宋_GB2312" w:eastAsia="仿宋_GB2312" w:hAnsi="仿宋" w:cs="宋体"/>
          <w:b/>
          <w:kern w:val="0"/>
          <w:sz w:val="24"/>
          <w:szCs w:val="24"/>
        </w:rPr>
      </w:pPr>
      <w:r w:rsidRPr="00BE57E4">
        <w:rPr>
          <w:rFonts w:ascii="仿宋" w:eastAsia="仿宋" w:hAnsi="仿宋" w:cs="宋体" w:hint="eastAsia"/>
          <w:kern w:val="0"/>
          <w:sz w:val="24"/>
          <w:szCs w:val="24"/>
        </w:rPr>
        <w:t xml:space="preserve">　　</w:t>
      </w:r>
      <w:r w:rsidRPr="003B6B1D">
        <w:rPr>
          <w:rFonts w:ascii="仿宋_GB2312" w:eastAsia="仿宋_GB2312" w:hAnsi="仿宋" w:cs="宋体" w:hint="eastAsia"/>
          <w:b/>
          <w:kern w:val="0"/>
          <w:sz w:val="24"/>
          <w:szCs w:val="24"/>
        </w:rPr>
        <w:t>联合国环境规划署（UNEP）网站报道，为帮助各国按照新发布的《环境经济核算体系（SEEA）生态系统核算》标准编制生态系统核算帐户，联合国和西班牙巴斯克气</w:t>
      </w:r>
      <w:r w:rsidRPr="003B6B1D">
        <w:rPr>
          <w:rFonts w:ascii="仿宋_GB2312" w:eastAsia="仿宋_GB2312" w:hAnsi="仿宋" w:cs="宋体" w:hint="eastAsia"/>
          <w:b/>
          <w:kern w:val="0"/>
          <w:sz w:val="24"/>
          <w:szCs w:val="24"/>
        </w:rPr>
        <w:lastRenderedPageBreak/>
        <w:t>候变化中心（BC3）于当日推出了一款创新的人工智能（AI）工具，即ARIES for SEEA Explorer，使衡量大自然对各国经济繁荣和福祉的贡献变得更容易。</w:t>
      </w:r>
      <w:r w:rsidRPr="003B6B1D">
        <w:rPr>
          <w:rFonts w:asciiTheme="minorEastAsia" w:eastAsia="仿宋_GB2312" w:hAnsiTheme="minorEastAsia" w:cs="宋体" w:hint="eastAsia"/>
          <w:b/>
          <w:kern w:val="0"/>
          <w:sz w:val="24"/>
          <w:szCs w:val="24"/>
        </w:rPr>
        <w:t> </w:t>
      </w:r>
      <w:r w:rsidRPr="003B6B1D">
        <w:rPr>
          <w:rFonts w:ascii="仿宋_GB2312" w:eastAsia="仿宋_GB2312" w:hAnsi="仿宋" w:cs="宋体" w:hint="eastAsia"/>
          <w:b/>
          <w:kern w:val="0"/>
          <w:sz w:val="24"/>
          <w:szCs w:val="24"/>
        </w:rPr>
        <w:br/>
        <w:t xml:space="preserve">　　这款工具是一种开源数字工具，由联合国经济和社会事务部（UN DESA）统计司、UNEP和BC3依托环境与可持续发展人工智能（ARIES）平台的数据和模型共同开发。它通过人工智能技术的自我学习能力确定最佳的可用模型和数据源，快速整合地理空间和统计数据，生成指定地区的生态系统账户，从而为用户提供快速、标准化且可定制的生态系统核算服务。各国可以利用这款工具，参考全球数据源或国家数据和模型参数，编制完善生态系统账户，追踪调查森林、湿地等生态系统的范围、状况及功能与服务，反映生态系统对经济和福祉的贡献，并在全球、区域和国内数据统计中予以体现。这一新工具将支持决策者充分掌握数据，为目标区域政策制定和决策过程提供参考，同时帮助各国监测可持续发展目标和2020年后全球生物多样性目标的实施进展。</w:t>
      </w:r>
      <w:r w:rsidRPr="003B6B1D">
        <w:rPr>
          <w:rFonts w:asciiTheme="minorEastAsia" w:eastAsia="仿宋_GB2312" w:hAnsiTheme="minorEastAsia" w:cs="宋体" w:hint="eastAsia"/>
          <w:b/>
          <w:kern w:val="0"/>
          <w:sz w:val="24"/>
          <w:szCs w:val="24"/>
        </w:rPr>
        <w:t> </w:t>
      </w:r>
      <w:r w:rsidRPr="003B6B1D">
        <w:rPr>
          <w:rFonts w:ascii="仿宋_GB2312" w:eastAsia="仿宋_GB2312" w:hAnsi="仿宋" w:cs="宋体" w:hint="eastAsia"/>
          <w:b/>
          <w:kern w:val="0"/>
          <w:sz w:val="24"/>
          <w:szCs w:val="24"/>
        </w:rPr>
        <w:br/>
        <w:t xml:space="preserve">　　UNDP生态系统司司长苏珊·加德纳表示，自然是后疫情时代全球人类福祉、环境健康和经济繁荣的核心来源，因而建立自然友好型经济体系至关重要。新技术将服务于生态系统自然资本核算，整合最新数据和模型，展现自然对经济贡献的巨大作用，这有利于促进企业和政府在充分了解自然的情况下做出积极的、有益于自然的决策，从而推动针对生物多样性丧失和气候变化采取切实行动，为所有人创造可持续的未来。</w:t>
      </w:r>
      <w:r w:rsidRPr="003B6B1D">
        <w:rPr>
          <w:rFonts w:asciiTheme="minorEastAsia" w:eastAsia="仿宋_GB2312" w:hAnsiTheme="minorEastAsia" w:cs="宋体" w:hint="eastAsia"/>
          <w:b/>
          <w:kern w:val="0"/>
          <w:sz w:val="24"/>
          <w:szCs w:val="24"/>
        </w:rPr>
        <w:t> </w:t>
      </w:r>
      <w:r w:rsidRPr="003B6B1D">
        <w:rPr>
          <w:rFonts w:ascii="仿宋_GB2312" w:eastAsia="仿宋_GB2312" w:hAnsi="仿宋" w:cs="宋体" w:hint="eastAsia"/>
          <w:b/>
          <w:kern w:val="0"/>
          <w:sz w:val="24"/>
          <w:szCs w:val="24"/>
        </w:rPr>
        <w:br/>
        <w:t xml:space="preserve">　　这款工具可在联合国全球平台（UN Global Platform）上使用。该平台通过分享科学知识、数据、方法和技术，支持全球各国之间的国际合作。随着各国对可持续管理自然资源的需求越来越大，为了实现这一目标，科学家和决策者需要开展越来越多的合作。基于人工智能的工具是未来合作的关键，为知识的开放式集成和再利用奠定了基础。目前，一些国家已经开始使用ARIES for SEEA Explorer。预计在不久的将来，该工具的功能会日益丰富，从而服务于更多核算和评估活动，例如评估实现可持续发展目标和2020年后全球生物多样性框架的进展。</w:t>
      </w:r>
    </w:p>
    <w:p w:rsidR="000A192F" w:rsidRPr="00552B4C" w:rsidRDefault="000A192F" w:rsidP="00595E5D">
      <w:pPr>
        <w:widowControl/>
        <w:shd w:val="clear" w:color="auto" w:fill="FFFFFF"/>
        <w:spacing w:beforeLines="100" w:afterLines="100" w:line="392" w:lineRule="exact"/>
        <w:jc w:val="center"/>
        <w:outlineLvl w:val="1"/>
        <w:rPr>
          <w:rFonts w:ascii="黑体" w:eastAsia="黑体" w:hAnsi="黑体" w:cs="宋体"/>
          <w:b/>
          <w:bCs/>
          <w:kern w:val="0"/>
          <w:sz w:val="30"/>
          <w:szCs w:val="30"/>
        </w:rPr>
      </w:pPr>
      <w:r w:rsidRPr="006B711E">
        <w:rPr>
          <w:rFonts w:ascii="黑体" w:eastAsia="黑体" w:hAnsi="黑体" w:cstheme="majorBidi" w:hint="eastAsia"/>
          <w:b/>
          <w:bCs/>
          <w:color w:val="4F6228" w:themeColor="accent3" w:themeShade="80"/>
          <w:sz w:val="30"/>
          <w:szCs w:val="30"/>
        </w:rPr>
        <w:t>浙江以数字化管理推动十大名山智治</w:t>
      </w:r>
    </w:p>
    <w:p w:rsidR="000A192F" w:rsidRPr="006B711E" w:rsidRDefault="00C90364" w:rsidP="00A76F92">
      <w:pPr>
        <w:widowControl/>
        <w:shd w:val="clear" w:color="auto" w:fill="FFFFFF"/>
        <w:spacing w:line="392" w:lineRule="exact"/>
        <w:ind w:firstLineChars="200" w:firstLine="482"/>
        <w:jc w:val="left"/>
        <w:rPr>
          <w:rFonts w:ascii="仿宋_GB2312" w:eastAsia="仿宋_GB2312" w:hAnsi="仿宋" w:cs="宋体"/>
          <w:b/>
          <w:kern w:val="0"/>
          <w:sz w:val="24"/>
          <w:szCs w:val="24"/>
        </w:rPr>
      </w:pPr>
      <w:r>
        <w:rPr>
          <w:rFonts w:ascii="仿宋_GB2312" w:eastAsia="仿宋_GB2312" w:hAnsi="仿宋" w:cs="宋体" w:hint="eastAsia"/>
          <w:b/>
          <w:kern w:val="0"/>
          <w:sz w:val="24"/>
          <w:szCs w:val="24"/>
        </w:rPr>
        <w:t>日前</w:t>
      </w:r>
      <w:r w:rsidR="000A192F" w:rsidRPr="006B711E">
        <w:rPr>
          <w:rFonts w:ascii="仿宋_GB2312" w:eastAsia="仿宋_GB2312" w:hAnsi="仿宋" w:cs="宋体" w:hint="eastAsia"/>
          <w:b/>
          <w:kern w:val="0"/>
          <w:sz w:val="24"/>
          <w:szCs w:val="24"/>
        </w:rPr>
        <w:t>，“建设浙江大花园十大名山公园走进雁荡山暨魅力名山·智治赋能论坛活动”在温州雁荡山举行。活动以“魅力名山·智治赋能”为主题，以提升数字化管理和数字化服务为内核，旨在深入实施名山公园提升计划，高质量推进“十大名山公园”建设。</w:t>
      </w:r>
    </w:p>
    <w:p w:rsidR="000A192F" w:rsidRPr="00552B4C" w:rsidRDefault="000A192F" w:rsidP="00ED5BB4">
      <w:pPr>
        <w:widowControl/>
        <w:shd w:val="clear" w:color="auto" w:fill="FFFFFF"/>
        <w:spacing w:line="392" w:lineRule="exact"/>
        <w:jc w:val="left"/>
        <w:rPr>
          <w:rFonts w:ascii="仿宋" w:eastAsia="仿宋" w:hAnsi="仿宋" w:cs="宋体"/>
          <w:b/>
          <w:kern w:val="0"/>
          <w:sz w:val="24"/>
          <w:szCs w:val="24"/>
        </w:rPr>
      </w:pPr>
      <w:r w:rsidRPr="006B711E">
        <w:rPr>
          <w:rFonts w:ascii="仿宋_GB2312" w:eastAsia="仿宋_GB2312" w:hAnsi="仿宋" w:cs="宋体" w:hint="eastAsia"/>
          <w:b/>
          <w:kern w:val="0"/>
          <w:sz w:val="24"/>
          <w:szCs w:val="24"/>
        </w:rPr>
        <w:t xml:space="preserve">　　推进“十大名山公园”建设，是浙江省大花园建设的重点工程。浙江通过大力实施“十大名山公园”提升行动，率先推进长三角森林康养和生态旅游一体化发展，努力打造“绿水青山就是金山银山”理念示范区和林业高质量发展标杆区。活动中，十</w:t>
      </w:r>
      <w:r w:rsidRPr="006B711E">
        <w:rPr>
          <w:rFonts w:ascii="仿宋_GB2312" w:eastAsia="仿宋_GB2312" w:hAnsi="仿宋" w:cs="宋体" w:hint="eastAsia"/>
          <w:b/>
          <w:kern w:val="0"/>
          <w:sz w:val="24"/>
          <w:szCs w:val="24"/>
        </w:rPr>
        <w:lastRenderedPageBreak/>
        <w:t>大名山公园联合倡议“智治”建设，全力推进数字化改革，提高名山公园的管理能力和服务能力。现场启动十大名山公园入驻支付宝、一码游名山项目。</w:t>
      </w:r>
    </w:p>
    <w:p w:rsidR="000A192F" w:rsidRPr="006B711E" w:rsidRDefault="000A192F" w:rsidP="00595E5D">
      <w:pPr>
        <w:pStyle w:val="2"/>
        <w:shd w:val="clear" w:color="auto" w:fill="FFFFFF"/>
        <w:spacing w:beforeLines="100" w:beforeAutospacing="0" w:afterLines="100" w:afterAutospacing="0" w:line="392" w:lineRule="exact"/>
        <w:jc w:val="center"/>
        <w:rPr>
          <w:rFonts w:ascii="黑体" w:eastAsia="黑体" w:hAnsi="黑体" w:cstheme="majorBidi"/>
          <w:b/>
          <w:bCs/>
          <w:color w:val="4F6228" w:themeColor="accent3" w:themeShade="80"/>
          <w:kern w:val="2"/>
          <w:sz w:val="30"/>
          <w:szCs w:val="30"/>
        </w:rPr>
      </w:pPr>
      <w:r w:rsidRPr="006B711E">
        <w:rPr>
          <w:rFonts w:ascii="黑体" w:eastAsia="黑体" w:hAnsi="黑体" w:cstheme="majorBidi" w:hint="eastAsia"/>
          <w:b/>
          <w:bCs/>
          <w:color w:val="4F6228" w:themeColor="accent3" w:themeShade="80"/>
          <w:kern w:val="2"/>
          <w:sz w:val="30"/>
          <w:szCs w:val="30"/>
        </w:rPr>
        <w:t>“内蒙古一号”卫星助力构建生态监测新格局</w:t>
      </w:r>
    </w:p>
    <w:p w:rsidR="000A192F" w:rsidRPr="006B711E" w:rsidRDefault="000A192F" w:rsidP="00A76F92">
      <w:pPr>
        <w:widowControl/>
        <w:shd w:val="clear" w:color="auto" w:fill="FFFFFF"/>
        <w:spacing w:line="392" w:lineRule="exact"/>
        <w:ind w:firstLineChars="196" w:firstLine="472"/>
        <w:jc w:val="left"/>
        <w:rPr>
          <w:rFonts w:ascii="仿宋_GB2312" w:eastAsia="仿宋_GB2312" w:hAnsi="仿宋" w:cs="宋体"/>
          <w:b/>
          <w:kern w:val="0"/>
          <w:sz w:val="24"/>
          <w:szCs w:val="24"/>
        </w:rPr>
      </w:pPr>
      <w:r w:rsidRPr="006B711E">
        <w:rPr>
          <w:rFonts w:ascii="仿宋_GB2312" w:eastAsia="仿宋_GB2312" w:hAnsi="仿宋" w:cs="宋体" w:hint="eastAsia"/>
          <w:b/>
          <w:kern w:val="0"/>
          <w:sz w:val="24"/>
          <w:szCs w:val="24"/>
        </w:rPr>
        <w:t>从内蒙古自治区林草局</w:t>
      </w:r>
      <w:r w:rsidR="008A5C59" w:rsidRPr="006B711E">
        <w:rPr>
          <w:rFonts w:ascii="仿宋_GB2312" w:eastAsia="仿宋_GB2312" w:hAnsi="仿宋" w:cs="宋体" w:hint="eastAsia"/>
          <w:b/>
          <w:kern w:val="0"/>
          <w:sz w:val="24"/>
          <w:szCs w:val="24"/>
        </w:rPr>
        <w:t>获悉</w:t>
      </w:r>
      <w:r w:rsidRPr="006B711E">
        <w:rPr>
          <w:rFonts w:ascii="仿宋_GB2312" w:eastAsia="仿宋_GB2312" w:hAnsi="仿宋" w:cs="宋体" w:hint="eastAsia"/>
          <w:b/>
          <w:kern w:val="0"/>
          <w:sz w:val="24"/>
          <w:szCs w:val="24"/>
        </w:rPr>
        <w:t>，国际上幅宽最大的亚米级光学遥感卫星“内蒙古一号”卫星在轨运行近一个月后正式投入使用。</w:t>
      </w:r>
    </w:p>
    <w:p w:rsidR="000A192F" w:rsidRPr="006B711E" w:rsidRDefault="000A192F" w:rsidP="00A76F92">
      <w:pPr>
        <w:widowControl/>
        <w:shd w:val="clear" w:color="auto" w:fill="FFFFFF"/>
        <w:spacing w:line="392" w:lineRule="exact"/>
        <w:ind w:firstLineChars="196" w:firstLine="472"/>
        <w:jc w:val="left"/>
        <w:rPr>
          <w:rFonts w:ascii="仿宋_GB2312" w:eastAsia="仿宋_GB2312" w:hAnsi="仿宋" w:cs="宋体"/>
          <w:b/>
          <w:kern w:val="0"/>
          <w:sz w:val="24"/>
          <w:szCs w:val="24"/>
        </w:rPr>
      </w:pPr>
      <w:r w:rsidRPr="006B711E">
        <w:rPr>
          <w:rFonts w:ascii="仿宋_GB2312" w:eastAsia="仿宋_GB2312" w:hAnsi="仿宋" w:cs="宋体" w:hint="eastAsia"/>
          <w:b/>
          <w:kern w:val="0"/>
          <w:sz w:val="24"/>
          <w:szCs w:val="24"/>
        </w:rPr>
        <w:t>7月3日,“内蒙古一号”卫星发射升空，顺利进入预定轨道。该卫星具备高分辨、超大幅宽、高速存储、高速数传等特点，覆盖范围广、信息量大，能够实现及时性、长期性动态监测。“内蒙古一号”卫星的发射运行，标志着内蒙古自治区已经构建起“天上看、地上查、网上管”的生态监测新格局。</w:t>
      </w:r>
    </w:p>
    <w:p w:rsidR="000A192F" w:rsidRPr="006B711E" w:rsidRDefault="000A192F" w:rsidP="00A76F92">
      <w:pPr>
        <w:widowControl/>
        <w:shd w:val="clear" w:color="auto" w:fill="FFFFFF"/>
        <w:spacing w:line="392" w:lineRule="exact"/>
        <w:ind w:firstLineChars="196" w:firstLine="472"/>
        <w:jc w:val="left"/>
        <w:rPr>
          <w:rFonts w:ascii="仿宋_GB2312" w:eastAsia="仿宋_GB2312" w:hAnsi="仿宋" w:cs="宋体"/>
          <w:b/>
          <w:kern w:val="0"/>
          <w:sz w:val="24"/>
          <w:szCs w:val="24"/>
        </w:rPr>
      </w:pPr>
      <w:r w:rsidRPr="006B711E">
        <w:rPr>
          <w:rFonts w:ascii="仿宋_GB2312" w:eastAsia="仿宋_GB2312" w:hAnsi="仿宋" w:cs="宋体" w:hint="eastAsia"/>
          <w:b/>
          <w:kern w:val="0"/>
          <w:sz w:val="24"/>
          <w:szCs w:val="24"/>
        </w:rPr>
        <w:t>“内蒙古一号”卫星可通过全天候遥感影像处理，结合人工智能技术和地理信息技术进行常态化动态监测，可及时获取全区范围内森林覆盖情况信息，并依据审批、规划、现状等数据对图斑作进一步分析判断，及时发现破坏草原林地违法行为，尤其是提高了草畜平衡区监管中“草情”监测评价的时间分辨率，可对草畜平衡区超载问题提前预警。</w:t>
      </w:r>
    </w:p>
    <w:p w:rsidR="00C62665" w:rsidRPr="00C62665" w:rsidRDefault="00CE1A0E" w:rsidP="00E23D51">
      <w:pPr>
        <w:pStyle w:val="a8"/>
        <w:shd w:val="clear" w:color="auto" w:fill="FFFFFF"/>
        <w:spacing w:before="0" w:beforeAutospacing="0" w:after="0" w:afterAutospacing="0" w:line="400" w:lineRule="exact"/>
        <w:rPr>
          <w:rFonts w:ascii="仿宋" w:eastAsia="仿宋" w:hAnsi="仿宋"/>
          <w:b/>
        </w:rPr>
      </w:pPr>
      <w:r w:rsidRPr="00CE1A0E">
        <w:rPr>
          <w:rFonts w:ascii="黑体" w:eastAsia="黑体" w:hAnsi="黑体"/>
          <w:b/>
          <w:bCs/>
          <w:noProof/>
          <w:sz w:val="30"/>
          <w:szCs w:val="30"/>
        </w:rPr>
        <w:pict>
          <v:shape id="_x0000_s2104" type="#_x0000_t98" style="position:absolute;margin-left:2.55pt;margin-top:7.4pt;width:94.5pt;height:48.9pt;z-index:251684864">
            <v:textbox style="mso-next-textbox:#_x0000_s2104">
              <w:txbxContent>
                <w:p w:rsidR="00CD6E29" w:rsidRPr="004201D8" w:rsidRDefault="00CD6E29" w:rsidP="00CD6E29">
                  <w:pPr>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CD6E29" w:rsidRDefault="00CD6E29" w:rsidP="00E23D51">
      <w:pPr>
        <w:pStyle w:val="a8"/>
        <w:shd w:val="clear" w:color="auto" w:fill="FFFFFF"/>
        <w:spacing w:before="0" w:beforeAutospacing="0" w:after="0" w:afterAutospacing="0" w:line="400" w:lineRule="exact"/>
        <w:ind w:firstLine="482"/>
        <w:jc w:val="both"/>
        <w:rPr>
          <w:rFonts w:ascii="黑体" w:eastAsia="黑体" w:hAnsi="黑体"/>
          <w:b/>
          <w:bCs/>
          <w:sz w:val="30"/>
          <w:szCs w:val="30"/>
        </w:rPr>
      </w:pPr>
    </w:p>
    <w:p w:rsidR="009357D4" w:rsidRDefault="009357D4" w:rsidP="00ED5BB4">
      <w:pPr>
        <w:pStyle w:val="ac"/>
        <w:spacing w:before="0" w:after="0" w:line="392" w:lineRule="exact"/>
        <w:rPr>
          <w:rFonts w:ascii="黑体" w:eastAsia="黑体" w:hAnsi="黑体"/>
          <w:bCs w:val="0"/>
          <w:color w:val="4F6228" w:themeColor="accent3" w:themeShade="80"/>
          <w:sz w:val="30"/>
          <w:szCs w:val="30"/>
        </w:rPr>
      </w:pPr>
    </w:p>
    <w:p w:rsidR="00BA2968" w:rsidRPr="00882F64" w:rsidRDefault="00BA2968" w:rsidP="00595E5D">
      <w:pPr>
        <w:pStyle w:val="ac"/>
        <w:spacing w:beforeLines="80" w:afterLines="100" w:line="392" w:lineRule="exact"/>
      </w:pPr>
      <w:r w:rsidRPr="006B711E">
        <w:rPr>
          <w:rFonts w:ascii="黑体" w:eastAsia="黑体" w:hAnsi="黑体" w:hint="eastAsia"/>
          <w:bCs w:val="0"/>
          <w:color w:val="4F6228" w:themeColor="accent3" w:themeShade="80"/>
          <w:sz w:val="30"/>
          <w:szCs w:val="30"/>
        </w:rPr>
        <w:t>中国林产协发布推进“双碳”战略行动方案</w:t>
      </w:r>
    </w:p>
    <w:p w:rsidR="00BA2968" w:rsidRPr="006B711E" w:rsidRDefault="00BA2968" w:rsidP="00ED5BB4">
      <w:pPr>
        <w:pStyle w:val="a8"/>
        <w:shd w:val="clear" w:color="auto" w:fill="FFFFFF"/>
        <w:spacing w:before="0" w:beforeAutospacing="0" w:after="0" w:afterAutospacing="0" w:line="392" w:lineRule="exact"/>
        <w:ind w:firstLine="480"/>
        <w:jc w:val="both"/>
        <w:rPr>
          <w:rFonts w:ascii="仿宋_GB2312" w:eastAsia="仿宋_GB2312" w:hAnsi="仿宋"/>
          <w:b/>
        </w:rPr>
      </w:pPr>
      <w:r w:rsidRPr="006B711E">
        <w:rPr>
          <w:rFonts w:ascii="仿宋_GB2312" w:eastAsia="仿宋_GB2312" w:hAnsi="仿宋" w:hint="eastAsia"/>
          <w:b/>
        </w:rPr>
        <w:t>中国林产工业协会日前发布推进“双碳”战略、促进绿色发展行动方案。协会将系统开展相关专题研究、加快推进团体标准研制、全面推进行业绿色认证、启动重点领域重点企业试点、开展行业专项活动等。</w:t>
      </w:r>
    </w:p>
    <w:p w:rsidR="00BA2968" w:rsidRPr="006B711E" w:rsidRDefault="00BA2968" w:rsidP="00ED5BB4">
      <w:pPr>
        <w:pStyle w:val="a8"/>
        <w:shd w:val="clear" w:color="auto" w:fill="FFFFFF"/>
        <w:spacing w:before="0" w:beforeAutospacing="0" w:after="0" w:afterAutospacing="0" w:line="392" w:lineRule="exact"/>
        <w:ind w:firstLine="480"/>
        <w:jc w:val="both"/>
        <w:rPr>
          <w:rFonts w:ascii="仿宋_GB2312" w:eastAsia="仿宋_GB2312" w:hAnsi="仿宋"/>
          <w:b/>
        </w:rPr>
      </w:pPr>
      <w:r w:rsidRPr="006B711E">
        <w:rPr>
          <w:rFonts w:ascii="仿宋_GB2312" w:eastAsia="仿宋_GB2312" w:hAnsi="仿宋" w:hint="eastAsia"/>
          <w:b/>
        </w:rPr>
        <w:t>林产工业行业涉及原木、锯材、人造板、地板、家具等，不仅在原材料生长、培育过程中，可以吸收和固定大气中的二氧化碳，而且在产品加工、制造过程中碳排放量远低于钢材、水泥等其他基础材料，同时在使用过程中也具备贮碳减碳等实现碳中和的正向贡献能力。</w:t>
      </w:r>
    </w:p>
    <w:p w:rsidR="00BA2968" w:rsidRPr="006B711E" w:rsidRDefault="00BA2968" w:rsidP="00ED5BB4">
      <w:pPr>
        <w:pStyle w:val="a8"/>
        <w:shd w:val="clear" w:color="auto" w:fill="FFFFFF"/>
        <w:spacing w:before="0" w:beforeAutospacing="0" w:after="0" w:afterAutospacing="0" w:line="392" w:lineRule="exact"/>
        <w:ind w:firstLine="480"/>
        <w:jc w:val="both"/>
        <w:rPr>
          <w:rFonts w:ascii="仿宋_GB2312" w:eastAsia="仿宋_GB2312" w:hAnsi="仿宋"/>
          <w:b/>
        </w:rPr>
      </w:pPr>
      <w:r w:rsidRPr="006B711E">
        <w:rPr>
          <w:rFonts w:ascii="仿宋_GB2312" w:eastAsia="仿宋_GB2312" w:hAnsi="仿宋" w:hint="eastAsia"/>
          <w:b/>
        </w:rPr>
        <w:t>方案指出，协会拟联合中国林科院科信所、国家林草局林产工业规划设计院、中国林科院木材所等行业研究机构，系统梳理并研究国际通行与林产工业实践相结合的绿色加工、低碳替代、生物质能源发展等可行性技术方案，研究林产工业碳中和主要实现路径。同时，拟在人造板、地板、木门、生物质能源、生物质材料重点行业领域遴选优秀企业开展碳盘查、碳标签与核查试点，指导企业开展碳盘查工作，鼓励制定企业碳中和发展战略及实现路径并积极推动实施。</w:t>
      </w:r>
    </w:p>
    <w:p w:rsidR="00BA2968" w:rsidRDefault="00BA2968" w:rsidP="00ED5BB4">
      <w:pPr>
        <w:pStyle w:val="a8"/>
        <w:shd w:val="clear" w:color="auto" w:fill="FFFFFF"/>
        <w:spacing w:before="0" w:beforeAutospacing="0" w:after="0" w:afterAutospacing="0" w:line="392" w:lineRule="exact"/>
        <w:ind w:firstLine="480"/>
        <w:jc w:val="both"/>
        <w:rPr>
          <w:rFonts w:ascii="仿宋_GB2312" w:eastAsia="仿宋_GB2312" w:hAnsi="仿宋"/>
          <w:b/>
        </w:rPr>
      </w:pPr>
      <w:r w:rsidRPr="006B711E">
        <w:rPr>
          <w:rFonts w:ascii="仿宋_GB2312" w:eastAsia="仿宋_GB2312" w:hAnsi="仿宋" w:hint="eastAsia"/>
          <w:b/>
        </w:rPr>
        <w:lastRenderedPageBreak/>
        <w:t>方案提出，广大林产工业企业要积极响应国家号召，学习研究碳计量、碳中和相关政策法规和方法学，参加到相关标准的制订、方法的确定和制度的建设过程中，为党中央、国务院全面推进“碳达峰、碳中和”国家战略赋能，贡献行业力量。</w:t>
      </w:r>
    </w:p>
    <w:p w:rsidR="00552B4C" w:rsidRPr="006B711E" w:rsidRDefault="00552B4C" w:rsidP="00595E5D">
      <w:pPr>
        <w:pStyle w:val="2"/>
        <w:shd w:val="clear" w:color="auto" w:fill="FFFFFF"/>
        <w:spacing w:beforeLines="100" w:beforeAutospacing="0" w:afterLines="100" w:afterAutospacing="0" w:line="392" w:lineRule="exact"/>
        <w:jc w:val="center"/>
        <w:rPr>
          <w:rFonts w:ascii="黑体" w:eastAsia="黑体" w:hAnsi="黑体" w:cstheme="majorBidi"/>
          <w:b/>
          <w:color w:val="4F6228" w:themeColor="accent3" w:themeShade="80"/>
          <w:kern w:val="2"/>
          <w:sz w:val="30"/>
          <w:szCs w:val="30"/>
        </w:rPr>
      </w:pPr>
      <w:r w:rsidRPr="006B711E">
        <w:rPr>
          <w:rFonts w:ascii="黑体" w:eastAsia="黑体" w:hAnsi="黑体" w:cstheme="majorBidi" w:hint="eastAsia"/>
          <w:b/>
          <w:color w:val="4F6228" w:themeColor="accent3" w:themeShade="80"/>
          <w:kern w:val="2"/>
          <w:sz w:val="30"/>
          <w:szCs w:val="30"/>
        </w:rPr>
        <w:t>《经济林产品领域标准体系》印发</w:t>
      </w:r>
    </w:p>
    <w:p w:rsidR="00552B4C" w:rsidRPr="006B711E" w:rsidRDefault="00552B4C" w:rsidP="00A76F92">
      <w:pPr>
        <w:pStyle w:val="a8"/>
        <w:shd w:val="clear" w:color="auto" w:fill="FFFFFF"/>
        <w:spacing w:before="0" w:beforeAutospacing="0" w:after="0" w:afterAutospacing="0" w:line="392" w:lineRule="exact"/>
        <w:ind w:firstLineChars="196" w:firstLine="472"/>
        <w:rPr>
          <w:rFonts w:ascii="仿宋_GB2312" w:eastAsia="仿宋_GB2312" w:hAnsi="仿宋"/>
          <w:b/>
        </w:rPr>
      </w:pPr>
      <w:r w:rsidRPr="006B711E">
        <w:rPr>
          <w:rFonts w:ascii="仿宋_GB2312" w:eastAsia="仿宋_GB2312" w:hAnsi="仿宋" w:hint="eastAsia"/>
          <w:b/>
        </w:rPr>
        <w:t>8月18日，国家林业和草原局科学技术司、林业和草原改革发展司组织编制的《经济林产品领域标准体系》正式印发，标志着经济林产品领域标准化工作步入科学化、系统化、规范化的新阶段。</w:t>
      </w:r>
    </w:p>
    <w:p w:rsidR="00552B4C" w:rsidRPr="006B711E" w:rsidRDefault="00552B4C" w:rsidP="00ED5BB4">
      <w:pPr>
        <w:pStyle w:val="a8"/>
        <w:shd w:val="clear" w:color="auto" w:fill="FFFFFF"/>
        <w:spacing w:before="0" w:beforeAutospacing="0" w:after="0" w:afterAutospacing="0" w:line="392" w:lineRule="exact"/>
        <w:rPr>
          <w:rFonts w:ascii="仿宋_GB2312" w:eastAsia="仿宋_GB2312" w:hAnsi="仿宋"/>
          <w:b/>
        </w:rPr>
      </w:pPr>
      <w:r w:rsidRPr="006B711E">
        <w:rPr>
          <w:rFonts w:ascii="仿宋_GB2312" w:eastAsia="仿宋_GB2312" w:hAnsi="仿宋" w:hint="eastAsia"/>
          <w:b/>
        </w:rPr>
        <w:t xml:space="preserve">　　《经济林产品领域标准体系》包括基础通用、管理服务、干果坚果林及产品、鲜果林及产品、油料林及产品、香调料林及产品、工业原料林及产品、林源药材及产品和其他等九大类内容。</w:t>
      </w:r>
    </w:p>
    <w:p w:rsidR="00552B4C" w:rsidRPr="006B711E" w:rsidRDefault="00552B4C" w:rsidP="00ED5BB4">
      <w:pPr>
        <w:pStyle w:val="a8"/>
        <w:shd w:val="clear" w:color="auto" w:fill="FFFFFF"/>
        <w:spacing w:before="0" w:beforeAutospacing="0" w:after="0" w:afterAutospacing="0" w:line="392" w:lineRule="exact"/>
        <w:rPr>
          <w:rFonts w:ascii="仿宋_GB2312" w:eastAsia="仿宋_GB2312" w:hAnsi="仿宋"/>
          <w:b/>
        </w:rPr>
      </w:pPr>
      <w:r w:rsidRPr="006B711E">
        <w:rPr>
          <w:rFonts w:ascii="仿宋_GB2312" w:eastAsia="仿宋_GB2312" w:hAnsi="仿宋" w:hint="eastAsia"/>
          <w:b/>
        </w:rPr>
        <w:t xml:space="preserve">　　其中，基础通用和管理服务类标准为经济林产品和产业发展提供技术支撑和基本保障；干果坚果林、鲜果林、油料林、香调料林、工业原料林、林源药材和其他七大产品类标准，将大宗经济林、特色经济林标准“化零为整”，突出逻辑性、整体性和产品质量导向性，形成“基础管理、整体引领、各宗产品多点开花”的完整体系，促使经济林产品标准向“有用、管用、好用”的方向良性发展。</w:t>
      </w:r>
    </w:p>
    <w:p w:rsidR="00552B4C" w:rsidRPr="006B711E" w:rsidRDefault="00552B4C" w:rsidP="00ED5BB4">
      <w:pPr>
        <w:pStyle w:val="a8"/>
        <w:shd w:val="clear" w:color="auto" w:fill="FFFFFF"/>
        <w:spacing w:before="0" w:beforeAutospacing="0" w:after="0" w:afterAutospacing="0" w:line="392" w:lineRule="exact"/>
        <w:rPr>
          <w:rFonts w:ascii="仿宋_GB2312" w:eastAsia="仿宋_GB2312" w:hAnsi="仿宋"/>
          <w:b/>
        </w:rPr>
      </w:pPr>
      <w:r w:rsidRPr="006B711E">
        <w:rPr>
          <w:rFonts w:ascii="仿宋_GB2312" w:eastAsia="仿宋_GB2312" w:hAnsi="仿宋" w:hint="eastAsia"/>
          <w:b/>
        </w:rPr>
        <w:t xml:space="preserve">　　我国经济林种植面积超过6亿亩，产量超过2亿吨，产值超过2万亿元，已成为林业三大支柱产业之一；经济林产品已成为继粮食、蔬菜之后的第三大重要农产品。</w:t>
      </w:r>
    </w:p>
    <w:p w:rsidR="00552B4C" w:rsidRPr="00C57619" w:rsidRDefault="00552B4C" w:rsidP="00595E5D">
      <w:pPr>
        <w:pStyle w:val="2"/>
        <w:shd w:val="clear" w:color="auto" w:fill="FFFFFF"/>
        <w:spacing w:beforeLines="100" w:beforeAutospacing="0" w:afterLines="100" w:afterAutospacing="0" w:line="392" w:lineRule="exact"/>
        <w:jc w:val="center"/>
        <w:rPr>
          <w:rFonts w:ascii="黑体" w:eastAsia="黑体" w:hAnsi="黑体"/>
          <w:b/>
          <w:sz w:val="30"/>
          <w:szCs w:val="30"/>
        </w:rPr>
      </w:pPr>
      <w:r w:rsidRPr="006B711E">
        <w:rPr>
          <w:rFonts w:ascii="黑体" w:eastAsia="黑体" w:hAnsi="黑体" w:cstheme="majorBidi" w:hint="eastAsia"/>
          <w:b/>
          <w:bCs/>
          <w:color w:val="4F6228" w:themeColor="accent3" w:themeShade="80"/>
          <w:kern w:val="2"/>
          <w:sz w:val="30"/>
          <w:szCs w:val="30"/>
        </w:rPr>
        <w:t>椴树产业国家创新联盟成立</w:t>
      </w:r>
    </w:p>
    <w:p w:rsidR="00552B4C" w:rsidRPr="006B711E" w:rsidRDefault="00552B4C" w:rsidP="00A76F92">
      <w:pPr>
        <w:pStyle w:val="a8"/>
        <w:shd w:val="clear" w:color="auto" w:fill="FFFFFF"/>
        <w:spacing w:before="0" w:beforeAutospacing="0" w:after="0" w:afterAutospacing="0" w:line="392" w:lineRule="exact"/>
        <w:ind w:firstLineChars="200" w:firstLine="482"/>
        <w:rPr>
          <w:rFonts w:ascii="仿宋_GB2312" w:eastAsia="仿宋_GB2312" w:hAnsi="仿宋"/>
          <w:b/>
        </w:rPr>
      </w:pPr>
      <w:r w:rsidRPr="006B711E">
        <w:rPr>
          <w:rFonts w:ascii="仿宋_GB2312" w:eastAsia="仿宋_GB2312" w:hAnsi="仿宋" w:hint="eastAsia"/>
          <w:b/>
        </w:rPr>
        <w:t>椴树产业国家创新联盟成立大会暨2021年椴树产学研交流会近日在南京林业大学召开。南京林业大学当选为联盟理事长单位。</w:t>
      </w:r>
    </w:p>
    <w:p w:rsidR="00552B4C" w:rsidRPr="006B711E" w:rsidRDefault="00552B4C" w:rsidP="00ED5BB4">
      <w:pPr>
        <w:pStyle w:val="a8"/>
        <w:shd w:val="clear" w:color="auto" w:fill="FFFFFF"/>
        <w:spacing w:before="0" w:beforeAutospacing="0" w:after="0" w:afterAutospacing="0" w:line="392" w:lineRule="exact"/>
        <w:rPr>
          <w:rFonts w:ascii="仿宋_GB2312" w:eastAsia="仿宋_GB2312" w:hAnsi="仿宋"/>
          <w:b/>
        </w:rPr>
      </w:pPr>
      <w:r w:rsidRPr="006B711E">
        <w:rPr>
          <w:rFonts w:ascii="仿宋_GB2312" w:eastAsia="仿宋_GB2312" w:hAnsi="仿宋" w:hint="eastAsia"/>
          <w:b/>
        </w:rPr>
        <w:t xml:space="preserve">　　椴树产业国家创新联盟的设立，旨在有效整合技术创新资源，构建产业技术创新链，着力解决林业战略需求与共性关键技术，保障科研与生产紧密衔接，加速成果转移转化。</w:t>
      </w:r>
    </w:p>
    <w:p w:rsidR="00552B4C" w:rsidRPr="006B711E" w:rsidRDefault="00552B4C" w:rsidP="00ED5BB4">
      <w:pPr>
        <w:pStyle w:val="a8"/>
        <w:shd w:val="clear" w:color="auto" w:fill="FFFFFF"/>
        <w:spacing w:before="0" w:beforeAutospacing="0" w:after="0" w:afterAutospacing="0" w:line="392" w:lineRule="exact"/>
        <w:rPr>
          <w:rFonts w:ascii="仿宋_GB2312" w:eastAsia="仿宋_GB2312" w:hAnsi="仿宋"/>
          <w:b/>
        </w:rPr>
      </w:pPr>
      <w:r w:rsidRPr="006B711E">
        <w:rPr>
          <w:rFonts w:ascii="仿宋_GB2312" w:eastAsia="仿宋_GB2312" w:hAnsi="仿宋" w:hint="eastAsia"/>
          <w:b/>
        </w:rPr>
        <w:t xml:space="preserve">　　椴树是我国乡土树种，也是少有的集观赏性、抗逆性、用材、生态防护和食用加工等功能于一身的优良树种，但栽培资源有限。</w:t>
      </w:r>
    </w:p>
    <w:p w:rsidR="008A5C59" w:rsidRPr="006B711E" w:rsidRDefault="008A5C59" w:rsidP="00ED5BB4">
      <w:pPr>
        <w:pStyle w:val="a8"/>
        <w:shd w:val="clear" w:color="auto" w:fill="FFFFFF"/>
        <w:spacing w:before="0" w:beforeAutospacing="0" w:after="0" w:afterAutospacing="0" w:line="392" w:lineRule="exact"/>
        <w:rPr>
          <w:rFonts w:ascii="仿宋_GB2312" w:eastAsia="仿宋_GB2312" w:hAnsi="仿宋"/>
          <w:b/>
        </w:rPr>
      </w:pPr>
      <w:r w:rsidRPr="006B711E">
        <w:rPr>
          <w:rFonts w:ascii="仿宋_GB2312" w:eastAsia="仿宋_GB2312" w:hAnsi="仿宋" w:hint="eastAsia"/>
          <w:b/>
        </w:rPr>
        <w:t xml:space="preserve">　  近年来，南林大科研人员针对椴树的开发利用和产业发展开展了系列科技创新攻坚行动。南京椴在自然界一般需要2-3年才能萌发，南林大教授沈永宝团队经过多年攻关，种子仅需50-60天即可发芽，为南京椴的大规模繁殖和生产奠定了基础。</w:t>
      </w:r>
    </w:p>
    <w:p w:rsidR="000A192F" w:rsidRPr="006B711E" w:rsidRDefault="000A192F" w:rsidP="00595E5D">
      <w:pPr>
        <w:pStyle w:val="2"/>
        <w:shd w:val="clear" w:color="auto" w:fill="FFFFFF"/>
        <w:spacing w:beforeLines="70" w:beforeAutospacing="0" w:afterLines="70" w:afterAutospacing="0" w:line="392" w:lineRule="exact"/>
        <w:jc w:val="center"/>
        <w:rPr>
          <w:rFonts w:ascii="黑体" w:eastAsia="黑体" w:hAnsi="黑体" w:cstheme="majorBidi"/>
          <w:b/>
          <w:bCs/>
          <w:color w:val="4F6228" w:themeColor="accent3" w:themeShade="80"/>
          <w:kern w:val="2"/>
          <w:sz w:val="30"/>
          <w:szCs w:val="30"/>
        </w:rPr>
      </w:pPr>
      <w:r w:rsidRPr="006B711E">
        <w:rPr>
          <w:rFonts w:ascii="黑体" w:eastAsia="黑体" w:hAnsi="黑体" w:cstheme="majorBidi" w:hint="eastAsia"/>
          <w:b/>
          <w:bCs/>
          <w:color w:val="4F6228" w:themeColor="accent3" w:themeShade="80"/>
          <w:kern w:val="2"/>
          <w:sz w:val="30"/>
          <w:szCs w:val="30"/>
        </w:rPr>
        <w:t>元宝枫产业融合高质量发展论坛举办</w:t>
      </w:r>
    </w:p>
    <w:p w:rsidR="000A192F" w:rsidRPr="006B711E" w:rsidRDefault="000A192F" w:rsidP="00A76F92">
      <w:pPr>
        <w:pStyle w:val="a8"/>
        <w:shd w:val="clear" w:color="auto" w:fill="FFFFFF"/>
        <w:spacing w:before="0" w:beforeAutospacing="0" w:after="0" w:afterAutospacing="0" w:line="392" w:lineRule="exact"/>
        <w:ind w:firstLineChars="200" w:firstLine="482"/>
        <w:rPr>
          <w:rFonts w:ascii="仿宋_GB2312" w:eastAsia="仿宋_GB2312" w:hAnsi="仿宋"/>
          <w:b/>
        </w:rPr>
      </w:pPr>
      <w:r w:rsidRPr="006B711E">
        <w:rPr>
          <w:rFonts w:ascii="仿宋_GB2312" w:eastAsia="仿宋_GB2312" w:hAnsi="仿宋" w:hint="eastAsia"/>
          <w:b/>
        </w:rPr>
        <w:t>近日，元宝枫科技创新与产业融合高质量发展论坛在山东省济南市举办，探讨解决元宝枫推广应用、生产实践、成果转化中的瓶颈问题，引导元宝枫产业健康发展。</w:t>
      </w:r>
    </w:p>
    <w:p w:rsidR="000A192F" w:rsidRPr="006B711E" w:rsidRDefault="000A192F" w:rsidP="00ED5BB4">
      <w:pPr>
        <w:pStyle w:val="a8"/>
        <w:shd w:val="clear" w:color="auto" w:fill="FFFFFF"/>
        <w:spacing w:before="0" w:beforeAutospacing="0" w:after="0" w:afterAutospacing="0" w:line="392" w:lineRule="exact"/>
        <w:rPr>
          <w:rFonts w:ascii="仿宋_GB2312" w:eastAsia="仿宋_GB2312" w:hAnsi="仿宋"/>
          <w:b/>
        </w:rPr>
      </w:pPr>
      <w:r w:rsidRPr="006B711E">
        <w:rPr>
          <w:rFonts w:ascii="仿宋_GB2312" w:eastAsia="仿宋_GB2312" w:hAnsi="仿宋" w:hint="eastAsia"/>
          <w:b/>
        </w:rPr>
        <w:lastRenderedPageBreak/>
        <w:t xml:space="preserve">　　山东农业大学、泰山林科院、山东瑞枫农林科技股份有限公司、江南大学、江苏省农科院、长白山森工鸿美苗木有限公司、济南千木奇农业生态园有限公司代表分别作主题为“构建元宝枫科技创新体系”“元宝枫种质资源收集评价与种质挖掘创新”“元宝枫结实规律研究进展”“食用油精准适度加工，助推健康中国”“元宝枫研究进展”“四川元宝枫引种栽培成效的初步研究”“元宝枫生产和市场应用”“发挥园区示范功能，促进元宝枫事业发展”的讲座。</w:t>
      </w:r>
    </w:p>
    <w:p w:rsidR="000A192F" w:rsidRDefault="000A192F" w:rsidP="00B03606">
      <w:pPr>
        <w:pStyle w:val="a8"/>
        <w:shd w:val="clear" w:color="auto" w:fill="FFFFFF"/>
        <w:spacing w:before="0" w:beforeAutospacing="0" w:after="0" w:afterAutospacing="0" w:line="392" w:lineRule="exact"/>
        <w:ind w:firstLine="480"/>
        <w:rPr>
          <w:rFonts w:ascii="仿宋_GB2312" w:eastAsia="仿宋_GB2312" w:hAnsi="仿宋"/>
          <w:b/>
        </w:rPr>
      </w:pPr>
      <w:r w:rsidRPr="006B711E">
        <w:rPr>
          <w:rFonts w:ascii="仿宋_GB2312" w:eastAsia="仿宋_GB2312" w:hAnsi="仿宋" w:hint="eastAsia"/>
          <w:b/>
        </w:rPr>
        <w:t>会上举行了元宝枫共建单位、试验示范基地授牌仪式。山东、江苏、四川、云南、北京、内蒙古、陕西等省（区、市）从业者参加线上学习。</w:t>
      </w:r>
    </w:p>
    <w:p w:rsidR="00BA2968" w:rsidRPr="006B711E" w:rsidRDefault="00BA2968" w:rsidP="00595E5D">
      <w:pPr>
        <w:pStyle w:val="2"/>
        <w:shd w:val="clear" w:color="auto" w:fill="FFFFFF"/>
        <w:spacing w:beforeLines="100" w:beforeAutospacing="0" w:afterLines="100" w:afterAutospacing="0" w:line="392" w:lineRule="exact"/>
        <w:jc w:val="center"/>
        <w:rPr>
          <w:rFonts w:ascii="黑体" w:eastAsia="黑体" w:hAnsi="黑体" w:cstheme="majorBidi"/>
          <w:b/>
          <w:bCs/>
          <w:color w:val="4F6228" w:themeColor="accent3" w:themeShade="80"/>
          <w:kern w:val="2"/>
          <w:sz w:val="30"/>
          <w:szCs w:val="30"/>
        </w:rPr>
      </w:pPr>
      <w:r w:rsidRPr="006B711E">
        <w:rPr>
          <w:rFonts w:ascii="黑体" w:eastAsia="黑体" w:hAnsi="黑体" w:cstheme="majorBidi" w:hint="eastAsia"/>
          <w:b/>
          <w:bCs/>
          <w:color w:val="4F6228" w:themeColor="accent3" w:themeShade="80"/>
          <w:kern w:val="2"/>
          <w:sz w:val="30"/>
          <w:szCs w:val="30"/>
        </w:rPr>
        <w:t>中乌林业产业合作与发展线上交流会举行</w:t>
      </w:r>
    </w:p>
    <w:p w:rsidR="00BA2968" w:rsidRPr="006B711E" w:rsidRDefault="00BA2968" w:rsidP="00A76F92">
      <w:pPr>
        <w:pStyle w:val="a8"/>
        <w:shd w:val="clear" w:color="auto" w:fill="FFFFFF"/>
        <w:spacing w:before="0" w:beforeAutospacing="0" w:after="0" w:afterAutospacing="0" w:line="392" w:lineRule="exact"/>
        <w:ind w:firstLineChars="200" w:firstLine="482"/>
        <w:rPr>
          <w:rFonts w:ascii="仿宋_GB2312" w:eastAsia="仿宋_GB2312" w:hAnsi="仿宋"/>
          <w:b/>
        </w:rPr>
      </w:pPr>
      <w:r w:rsidRPr="006B711E">
        <w:rPr>
          <w:rFonts w:ascii="仿宋_GB2312" w:eastAsia="仿宋_GB2312" w:hAnsi="仿宋" w:hint="eastAsia"/>
          <w:b/>
        </w:rPr>
        <w:t>8月10日，由中国林业产业联合会、乌克兰林业署共同主办的中国-乌克兰两国林业产业合作与发展线上交流会举行。中乌双方就林业产业合作与发展、林产品国际贸易、农林育苗栽培技术、森林防火设备与智慧监测、林业机械设备、应用技术交流等议题进行了深入交流和探讨。</w:t>
      </w:r>
    </w:p>
    <w:p w:rsidR="00BA2968" w:rsidRPr="006B711E" w:rsidRDefault="00BA2968" w:rsidP="00ED5BB4">
      <w:pPr>
        <w:pStyle w:val="a8"/>
        <w:shd w:val="clear" w:color="auto" w:fill="FFFFFF"/>
        <w:spacing w:before="0" w:beforeAutospacing="0" w:after="0" w:afterAutospacing="0" w:line="392" w:lineRule="exact"/>
        <w:rPr>
          <w:rFonts w:ascii="仿宋_GB2312" w:eastAsia="仿宋_GB2312" w:hAnsi="仿宋"/>
          <w:b/>
        </w:rPr>
      </w:pPr>
      <w:r w:rsidRPr="006B711E">
        <w:rPr>
          <w:rFonts w:ascii="仿宋_GB2312" w:eastAsia="仿宋_GB2312" w:hAnsi="仿宋" w:hint="eastAsia"/>
          <w:b/>
        </w:rPr>
        <w:t xml:space="preserve">　　自建交以来，中乌两国在包括林业产业在内的各个领域的友好互利合作发展迅速。据中国海关统计，2019年，中乌林产品贸易额达到3.28亿美元，其中，中国从乌克兰进口1.92亿美元、同比增长46.5%，出口1.36亿美元、同比增长4.0%。</w:t>
      </w:r>
    </w:p>
    <w:p w:rsidR="00BA2968" w:rsidRPr="006B711E" w:rsidRDefault="00BA2968" w:rsidP="00ED5BB4">
      <w:pPr>
        <w:pStyle w:val="a8"/>
        <w:shd w:val="clear" w:color="auto" w:fill="FFFFFF"/>
        <w:spacing w:before="0" w:beforeAutospacing="0" w:after="0" w:afterAutospacing="0" w:line="392" w:lineRule="exact"/>
        <w:rPr>
          <w:rFonts w:ascii="仿宋_GB2312" w:eastAsia="仿宋_GB2312" w:hAnsi="仿宋"/>
          <w:b/>
        </w:rPr>
      </w:pPr>
      <w:r w:rsidRPr="006B711E">
        <w:rPr>
          <w:rFonts w:ascii="仿宋_GB2312" w:eastAsia="仿宋_GB2312" w:hAnsi="仿宋" w:hint="eastAsia"/>
          <w:b/>
        </w:rPr>
        <w:t xml:space="preserve">　　乌克兰是最早支持“一带一路”倡议的国家之一，中乌两国林业产业各具优势，互补性强，合作空间潜力很大。本次交流会为中乌双方行业主管部门的沟通与合作带来新契机。希望在双方政府和主管部门的积极引导下，为两国企业在农林领域创造更多的商业机会。</w:t>
      </w:r>
    </w:p>
    <w:p w:rsidR="00A670E6" w:rsidRPr="006B711E" w:rsidRDefault="00552B4C" w:rsidP="00595E5D">
      <w:pPr>
        <w:pStyle w:val="a8"/>
        <w:shd w:val="clear" w:color="auto" w:fill="FFFFFF"/>
        <w:spacing w:beforeLines="100" w:beforeAutospacing="0" w:afterLines="100" w:afterAutospacing="0" w:line="392" w:lineRule="exact"/>
        <w:jc w:val="center"/>
        <w:rPr>
          <w:rFonts w:ascii="黑体" w:eastAsia="黑体" w:hAnsi="黑体" w:cstheme="majorBidi"/>
          <w:b/>
          <w:bCs/>
          <w:color w:val="4F6228" w:themeColor="accent3" w:themeShade="80"/>
          <w:kern w:val="2"/>
          <w:sz w:val="30"/>
          <w:szCs w:val="30"/>
        </w:rPr>
      </w:pPr>
      <w:r w:rsidRPr="006B711E">
        <w:rPr>
          <w:rFonts w:ascii="黑体" w:eastAsia="黑体" w:hAnsi="黑体" w:cstheme="majorBidi" w:hint="eastAsia"/>
          <w:b/>
          <w:bCs/>
          <w:color w:val="4F6228" w:themeColor="accent3" w:themeShade="80"/>
          <w:kern w:val="2"/>
          <w:sz w:val="30"/>
          <w:szCs w:val="30"/>
        </w:rPr>
        <w:t>日本修订《间伐等特别措施法》以实现2050年碳中和目标</w:t>
      </w:r>
    </w:p>
    <w:p w:rsidR="00A670E6" w:rsidRPr="006B711E" w:rsidRDefault="00A670E6" w:rsidP="00ED5BB4">
      <w:pPr>
        <w:pStyle w:val="a8"/>
        <w:shd w:val="clear" w:color="auto" w:fill="FFFFFF"/>
        <w:spacing w:before="0" w:beforeAutospacing="0" w:after="0" w:afterAutospacing="0" w:line="392" w:lineRule="exact"/>
        <w:ind w:firstLine="480"/>
        <w:jc w:val="both"/>
        <w:rPr>
          <w:rFonts w:ascii="仿宋_GB2312" w:eastAsia="仿宋_GB2312" w:hAnsi="仿宋"/>
          <w:b/>
        </w:rPr>
      </w:pPr>
      <w:r w:rsidRPr="006B711E">
        <w:rPr>
          <w:rFonts w:ascii="仿宋_GB2312" w:eastAsia="仿宋_GB2312" w:hAnsi="仿宋" w:hint="eastAsia"/>
          <w:b/>
        </w:rPr>
        <w:t>日本林野厅情报志《林野-RINYA》2021年第4期报道，日本政府颁布了《关于促进实施森林间伐等特别措施法》（以下简称《间伐等特别措施法》）的部分修订法案，旨在实现2050年碳中和目标。作为针对《巴黎协定》规定确保森林碳吸收量的对策，该修订案延长了迄今为止所采取措施的实施期限，同时新设立了“特定种植事业计划”认证机制，即为促进树木的生长繁殖，利用生长良好的“特定母树”来生产苗木的种植事业。本文回顾了《间伐等特别措施法》的制定过程，并对2013年和2021年两次修订的主要内容进行介绍。</w:t>
      </w:r>
      <w:r w:rsidRPr="006B711E">
        <w:rPr>
          <w:rFonts w:ascii="仿宋_GB2312" w:eastAsia="仿宋_GB2312" w:hAnsi="仿宋" w:hint="eastAsia"/>
          <w:b/>
        </w:rPr>
        <w:br/>
        <w:t xml:space="preserve">　　1.《间伐等特别措法》的制定与2013年首次修订</w:t>
      </w:r>
      <w:r w:rsidRPr="006B711E">
        <w:rPr>
          <w:rFonts w:ascii="仿宋_GB2312" w:eastAsia="仿宋_GB2312" w:hAnsi="仿宋" w:hint="eastAsia"/>
          <w:b/>
        </w:rPr>
        <w:br/>
        <w:t xml:space="preserve">　　《间伐等特别措施法》制定于2008年，即《京都议定书》第一个承诺期（2008-2012年）的开始年份，其目的是为确保承诺期内森林碳吸收量占1990年度（基准年）总排放量的3.8%目标。该法要求市町村制定《特定间伐促进计划》，并要求列出开展间伐和植树造林的具体地点，旨在促进森林整备，增加森林碳吸收量。国家直接向市</w:t>
      </w:r>
      <w:r w:rsidRPr="006B711E">
        <w:rPr>
          <w:rFonts w:ascii="仿宋_GB2312" w:eastAsia="仿宋_GB2312" w:hAnsi="仿宋" w:hint="eastAsia"/>
          <w:b/>
        </w:rPr>
        <w:lastRenderedPageBreak/>
        <w:t>町村拨付“美丽森林建设基础整备补助金”，用以扶持间伐和造林。同时规定，关于实施森林整备的都道府县所分担的部分扶持资金，可采取发放地方特别补助金或发行地方债券等形式来筹集资金。</w:t>
      </w:r>
      <w:r w:rsidRPr="006B711E">
        <w:rPr>
          <w:rFonts w:ascii="仿宋_GB2312" w:eastAsia="仿宋_GB2312" w:hAnsi="仿宋" w:hint="eastAsia"/>
          <w:b/>
        </w:rPr>
        <w:br/>
        <w:t xml:space="preserve">　　“美丽森林建设基础整备补助金”主要用于高林龄树木间伐和路网建设与维护，通常不受森林整备条件约束，而是根据各地实际情况拨付的援助资金。对于森林所有者而言，如果将预先决定的间伐计划纳入到《特定间伐促进计划》中，能够更加有效地利用好森林整备补助。</w:t>
      </w:r>
      <w:r w:rsidRPr="006B711E">
        <w:rPr>
          <w:rFonts w:ascii="仿宋_GB2312" w:eastAsia="仿宋_GB2312" w:hAnsi="仿宋" w:hint="eastAsia"/>
          <w:b/>
        </w:rPr>
        <w:br/>
        <w:t xml:space="preserve">　　《间伐等特别措施法》（2013年）将实施期限延长了8年，即至《京都议定书》第二承诺期（2013年1月1日至2020年12月31日）结束。在此期间，有关“特定母树”增殖的新措施被纳入修订案中，这是基于林木育种中心长期以来对于二代先锋树进行优选所取得的进展而制定的，特别是用于造林的优良先锋树种苗，旨在确保未来森林的碳吸收量。</w:t>
      </w:r>
      <w:r w:rsidRPr="006B711E">
        <w:rPr>
          <w:rFonts w:ascii="仿宋_GB2312" w:eastAsia="仿宋_GB2312" w:hAnsi="仿宋" w:hint="eastAsia"/>
          <w:b/>
        </w:rPr>
        <w:br/>
        <w:t xml:space="preserve">　　具体而言，农林水产大臣将满足一定标准的树木指定为“特定母树”，例如与常规品种相比生长率增长1.5倍以上且花粉量不足一半等指标。然后由私营企业制定《特定增殖事业计划》，使“特定母树”得到增殖，并对采种园、采穗圃（提供优良种条的繁殖圃）进行开发。一旦得到都道府县知事认定，便可从林木育种中心获得“特定母树”种苗或种条的配发及其培育方面的相关技术指导。</w:t>
      </w:r>
      <w:r w:rsidRPr="006B711E">
        <w:rPr>
          <w:rFonts w:ascii="仿宋_GB2312" w:eastAsia="仿宋_GB2312" w:hAnsi="仿宋" w:hint="eastAsia"/>
          <w:b/>
        </w:rPr>
        <w:br/>
      </w:r>
      <w:r w:rsidR="00B03606">
        <w:rPr>
          <w:rFonts w:ascii="仿宋_GB2312" w:eastAsia="仿宋_GB2312" w:hAnsi="仿宋" w:hint="eastAsia"/>
          <w:b/>
        </w:rPr>
        <w:t xml:space="preserve">    </w:t>
      </w:r>
      <w:r w:rsidRPr="006B711E">
        <w:rPr>
          <w:rFonts w:ascii="仿宋_GB2312" w:eastAsia="仿宋_GB2312" w:hAnsi="仿宋" w:hint="eastAsia"/>
          <w:b/>
        </w:rPr>
        <w:t>2.《间伐等特别措施法》2021年第二次修订概要</w:t>
      </w:r>
      <w:r w:rsidRPr="006B711E">
        <w:rPr>
          <w:rFonts w:ascii="仿宋_GB2312" w:eastAsia="仿宋_GB2312" w:hAnsi="仿宋" w:hint="eastAsia"/>
          <w:b/>
        </w:rPr>
        <w:br/>
        <w:t xml:space="preserve">　　《间伐等特别措施法》（2021）是日本政府响应《巴黎协定》倡议，促进主伐后再造林的重要举措。该修订案内容概要如下：</w:t>
      </w:r>
      <w:r w:rsidRPr="006B711E">
        <w:rPr>
          <w:rFonts w:ascii="仿宋_GB2312" w:eastAsia="仿宋_GB2312" w:hAnsi="仿宋" w:hint="eastAsia"/>
          <w:b/>
        </w:rPr>
        <w:br/>
        <w:t xml:space="preserve">　　（1）延长现行的扶持措施</w:t>
      </w:r>
      <w:r w:rsidRPr="006B711E">
        <w:rPr>
          <w:rFonts w:ascii="仿宋_GB2312" w:eastAsia="仿宋_GB2312" w:hAnsi="仿宋" w:hint="eastAsia"/>
          <w:b/>
        </w:rPr>
        <w:br/>
        <w:t xml:space="preserve">　　将现行的“特定间伐”促进计划、市町村补助金、发行专项地方债券以及促进“特定母树”增殖等多种扶持措施延长10年。</w:t>
      </w:r>
      <w:r w:rsidRPr="006B711E">
        <w:rPr>
          <w:rFonts w:ascii="仿宋_GB2312" w:eastAsia="仿宋_GB2312" w:hAnsi="仿宋" w:hint="eastAsia"/>
          <w:b/>
        </w:rPr>
        <w:br/>
        <w:t xml:space="preserve">　　（2）制定促进再造林措施</w:t>
      </w:r>
      <w:r w:rsidRPr="006B711E">
        <w:rPr>
          <w:rFonts w:ascii="仿宋_GB2312" w:eastAsia="仿宋_GB2312" w:hAnsi="仿宋" w:hint="eastAsia"/>
          <w:b/>
        </w:rPr>
        <w:br/>
        <w:t xml:space="preserve">　　具体措施包括：1）都道府县知事将自然和社会条件良好、且靠近林道的森林指定为特定种植促进区域，并对有意在该区域种植“特定苗木”的森林所有者和林业公司制定的“特定种植事业计划”进行认定；2）“特定种植事业计划”制定者在借用无利息的林业与木材产业改善资金时将被延长偿还期限，还可以通过利用金融专项资金引进林业机械，高效实施再造林；3）“特定种植事业计划”下的植树造林活动可享受“美丽森林建设基础整备补助金”和专项地方债券等资金支持。</w:t>
      </w:r>
      <w:r w:rsidRPr="006B711E">
        <w:rPr>
          <w:rFonts w:ascii="仿宋_GB2312" w:eastAsia="仿宋_GB2312" w:hAnsi="仿宋" w:hint="eastAsia"/>
          <w:b/>
        </w:rPr>
        <w:br/>
        <w:t xml:space="preserve">　　3.《间伐等特别措施法》（2021）的主要目标和措施</w:t>
      </w:r>
      <w:r w:rsidRPr="006B711E">
        <w:rPr>
          <w:rFonts w:ascii="仿宋_GB2312" w:eastAsia="仿宋_GB2312" w:hAnsi="仿宋" w:hint="eastAsia"/>
          <w:b/>
        </w:rPr>
        <w:br/>
        <w:t xml:space="preserve">　　《间伐等特别措施法》（2021）提出了碳中和目标，希望进一步推进再造林工作，有效利用“特定母树”，促进日本林业发展。</w:t>
      </w:r>
      <w:r w:rsidRPr="006B711E">
        <w:rPr>
          <w:rFonts w:ascii="仿宋_GB2312" w:eastAsia="仿宋_GB2312" w:hAnsi="仿宋" w:hint="eastAsia"/>
          <w:b/>
        </w:rPr>
        <w:br/>
        <w:t xml:space="preserve">　　《巴黎协定》于2016年11月起正式生效。作为《巴黎协定》框架下的温室气体减排目标，日本提出到2030年财年比2013财年减少26%排放量的中期目标，其中森林碳吸收量占2%；到2050年将实现减排80%的长期目标。在2020年秋季举行的临时</w:t>
      </w:r>
      <w:r w:rsidRPr="006B711E">
        <w:rPr>
          <w:rFonts w:ascii="仿宋_GB2312" w:eastAsia="仿宋_GB2312" w:hAnsi="仿宋" w:hint="eastAsia"/>
          <w:b/>
        </w:rPr>
        <w:lastRenderedPageBreak/>
        <w:t>国会上，首相菅义伟发表施政演说时宣布日本将于2050年实现碳中和。目前，日本政府内部正在对全球变暖对策等相关政策进行重新评估。</w:t>
      </w:r>
      <w:r w:rsidRPr="006B711E">
        <w:rPr>
          <w:rFonts w:ascii="仿宋_GB2312" w:eastAsia="仿宋_GB2312" w:hAnsi="仿宋" w:hint="eastAsia"/>
          <w:b/>
        </w:rPr>
        <w:br/>
        <w:t xml:space="preserve">　　随着日本人工林进入“高龄化”，且主伐后仅有3～4成林地得以再造林，加上单位面积森林碳吸收量逐渐减少，因此利用优良种苗促进再造林，以确保中长期森林碳吸收量目标，变得尤为重要。关于再造林所需的苗木，《间伐等特别措施法》（2013年）所设定的“特定母树增殖”措施，在《京都议定书》第二承诺期内已取得一定进展。在北海道和九州地区，使用从“增殖特定母树”上采集的种条培育出的种苗（以下简称“特定苗木”）也开始推向市场。然而，2019年度，“特定苗木”在所有苗木中的占比仅为4%左右。林野厅决定今后将加快“特定母树”的增殖和“特定苗木”的生产。即便如此，到2030年度，预计“特定苗木”在所有苗木中的占比最多也不会超过30%。这样一来，所有的再造林项目如若只用“特定母树”是远远不够的。因此，为使森林碳吸收量最大化，需要将数量有限的特定树苗优先种植在能够充分发挥其性能的地方。</w:t>
      </w:r>
      <w:r w:rsidRPr="006B711E">
        <w:rPr>
          <w:rFonts w:ascii="仿宋_GB2312" w:eastAsia="仿宋_GB2312" w:hAnsi="仿宋" w:hint="eastAsia"/>
          <w:b/>
        </w:rPr>
        <w:br/>
        <w:t xml:space="preserve">　　另外，由于“特定苗木”与常规苗木相比其生长性能更为优越，生长速度更快，割灌次数会相对减少，造林成活率更高。因此，造林密度可适当降低，轮伐期将会缩短，种植和保育成本有望下降，这对于林业发展来说大有益处。</w:t>
      </w:r>
      <w:r w:rsidRPr="006B711E">
        <w:rPr>
          <w:rFonts w:ascii="仿宋_GB2312" w:eastAsia="仿宋_GB2312" w:hAnsi="仿宋" w:hint="eastAsia"/>
          <w:b/>
        </w:rPr>
        <w:br/>
        <w:t xml:space="preserve">　　4.《间伐等特别措施法》（2021）的实施</w:t>
      </w:r>
      <w:r w:rsidRPr="006B711E">
        <w:rPr>
          <w:rFonts w:ascii="仿宋_GB2312" w:eastAsia="仿宋_GB2312" w:hAnsi="仿宋" w:hint="eastAsia"/>
          <w:b/>
        </w:rPr>
        <w:br/>
        <w:t xml:space="preserve">　　《间伐等特别措施法》（2021）定于2021年4月1日起实施。林野厅认为，为确保达成《巴黎协定》规定的森林碳吸收量目标，有必要基于《间伐等特别措施法》在各地森林整备场所迅速开展间伐和促进“特定母树”增殖等相关工作。为此，2021年4月6日，林野厅公布了国家基本方针。随后，都道府县和市町村也分别制定了各自的基本方针和特定间伐促进计划。今后，将基于这些方针政策进行更深入的森林整备。</w:t>
      </w:r>
      <w:r w:rsidRPr="006B711E">
        <w:rPr>
          <w:rFonts w:ascii="仿宋_GB2312" w:eastAsia="仿宋_GB2312" w:hAnsi="仿宋" w:hint="eastAsia"/>
          <w:b/>
        </w:rPr>
        <w:br/>
        <w:t xml:space="preserve">　　林野厅强调，为了充分发挥森林的公益功能，有必要实施以森林碳汇为首的各项措施，开展适当、适时的间伐和森林整备。林野厅将根据《间伐等特别措施法》，促进特定间伐等扶持措施的实施，稳步推进间伐和再造林工作</w:t>
      </w:r>
      <w:r w:rsidR="005F6686" w:rsidRPr="006B711E">
        <w:rPr>
          <w:rFonts w:ascii="仿宋_GB2312" w:eastAsia="仿宋_GB2312" w:hAnsi="仿宋" w:hint="eastAsia"/>
          <w:b/>
        </w:rPr>
        <w:t>。</w:t>
      </w:r>
    </w:p>
    <w:p w:rsidR="00F32547" w:rsidRPr="00A670E6" w:rsidRDefault="00F32547" w:rsidP="00595E5D">
      <w:pPr>
        <w:widowControl/>
        <w:spacing w:beforeLines="100" w:afterLines="100" w:line="392" w:lineRule="exact"/>
        <w:jc w:val="center"/>
        <w:rPr>
          <w:rFonts w:ascii="黑体" w:eastAsia="黑体" w:hAnsi="黑体" w:cs="宋体"/>
          <w:b/>
          <w:kern w:val="0"/>
          <w:sz w:val="30"/>
          <w:szCs w:val="30"/>
        </w:rPr>
      </w:pPr>
      <w:r w:rsidRPr="006B711E">
        <w:rPr>
          <w:rFonts w:ascii="黑体" w:eastAsia="黑体" w:hAnsi="黑体" w:cstheme="majorBidi" w:hint="eastAsia"/>
          <w:b/>
          <w:bCs/>
          <w:color w:val="4F6228" w:themeColor="accent3" w:themeShade="80"/>
          <w:sz w:val="30"/>
          <w:szCs w:val="30"/>
        </w:rPr>
        <w:t>德国图林根州有林公司利用森林沼泽地种植有机水稻</w:t>
      </w:r>
    </w:p>
    <w:p w:rsidR="00F32547" w:rsidRPr="00BE57E4" w:rsidRDefault="00F32547" w:rsidP="00ED5BB4">
      <w:pPr>
        <w:spacing w:line="392" w:lineRule="exact"/>
        <w:rPr>
          <w:rFonts w:ascii="仿宋" w:eastAsia="仿宋" w:hAnsi="仿宋"/>
          <w:sz w:val="24"/>
          <w:szCs w:val="24"/>
          <w:shd w:val="clear" w:color="auto" w:fill="FEF8E6"/>
        </w:rPr>
      </w:pPr>
      <w:r w:rsidRPr="006B711E">
        <w:rPr>
          <w:rFonts w:ascii="仿宋_GB2312" w:eastAsia="仿宋_GB2312" w:hAnsi="仿宋" w:cs="宋体" w:hint="eastAsia"/>
          <w:b/>
          <w:kern w:val="0"/>
          <w:sz w:val="24"/>
          <w:szCs w:val="24"/>
        </w:rPr>
        <w:t xml:space="preserve">    德国图林根州有林公司网站报道，图林根州有林公司利用森林沼泽地，开展水稻种植，培育有机水稻，以拓展农林复合经营新业务。</w:t>
      </w:r>
      <w:r w:rsidRPr="006B711E">
        <w:rPr>
          <w:rFonts w:ascii="仿宋_GB2312" w:eastAsia="仿宋_GB2312" w:hAnsi="仿宋" w:cs="宋体" w:hint="eastAsia"/>
          <w:b/>
          <w:kern w:val="0"/>
          <w:sz w:val="24"/>
          <w:szCs w:val="24"/>
        </w:rPr>
        <w:br/>
        <w:t xml:space="preserve">　　图林根州约有350个沼泽地，其中大部分分布于州有林中。过去25年间，州有林公司修复了大量荒地和湿地，并保持稳定的生态平衡。经过大量实验和研究发现，图林根山脉湿润森林的土壤和水条件优越，几乎没有任何虫害和杂草，其自然条件非常适合培育优质有机水稻。因此湿润森林在水稻种植方面具有突出优势。目前，州有林公司正在300 hm</w:t>
      </w:r>
      <w:r w:rsidRPr="00B03606">
        <w:rPr>
          <w:rFonts w:ascii="仿宋_GB2312" w:eastAsia="仿宋_GB2312" w:hAnsi="仿宋" w:cs="宋体" w:hint="eastAsia"/>
          <w:b/>
          <w:kern w:val="0"/>
          <w:sz w:val="24"/>
          <w:szCs w:val="24"/>
          <w:vertAlign w:val="superscript"/>
        </w:rPr>
        <w:t>2</w:t>
      </w:r>
      <w:r w:rsidRPr="006B711E">
        <w:rPr>
          <w:rFonts w:ascii="仿宋_GB2312" w:eastAsia="仿宋_GB2312" w:hAnsi="仿宋" w:cs="宋体" w:hint="eastAsia"/>
          <w:b/>
          <w:kern w:val="0"/>
          <w:sz w:val="24"/>
          <w:szCs w:val="24"/>
        </w:rPr>
        <w:t>的湿润森林中开展水稻种植。</w:t>
      </w:r>
      <w:r w:rsidRPr="006B711E">
        <w:rPr>
          <w:rFonts w:ascii="仿宋_GB2312" w:eastAsia="仿宋_GB2312" w:hAnsi="仿宋" w:cs="宋体" w:hint="eastAsia"/>
          <w:b/>
          <w:kern w:val="0"/>
          <w:sz w:val="24"/>
          <w:szCs w:val="24"/>
        </w:rPr>
        <w:br/>
      </w:r>
      <w:r w:rsidRPr="006B711E">
        <w:rPr>
          <w:rFonts w:ascii="仿宋_GB2312" w:eastAsia="仿宋_GB2312" w:hAnsi="仿宋" w:cs="宋体" w:hint="eastAsia"/>
          <w:b/>
          <w:kern w:val="0"/>
          <w:sz w:val="24"/>
          <w:szCs w:val="24"/>
        </w:rPr>
        <w:lastRenderedPageBreak/>
        <w:t xml:space="preserve">　　利用湿润森林试验水稻种植的灵感来自欧洲最大的水稻种植国意大利，该国水稻主产区位于皮埃蒙特，水源主要来自勃朗峰。鉴于生产每公斤大米需要3000～5000</w:t>
      </w:r>
      <w:r w:rsidR="00B03606">
        <w:rPr>
          <w:rFonts w:ascii="仿宋_GB2312" w:eastAsia="仿宋_GB2312" w:hAnsi="仿宋" w:cs="宋体" w:hint="eastAsia"/>
          <w:b/>
          <w:kern w:val="0"/>
          <w:sz w:val="24"/>
          <w:szCs w:val="24"/>
        </w:rPr>
        <w:t xml:space="preserve"> </w:t>
      </w:r>
      <w:r w:rsidRPr="006B711E">
        <w:rPr>
          <w:rFonts w:ascii="仿宋_GB2312" w:eastAsia="仿宋_GB2312" w:hAnsi="仿宋" w:cs="宋体" w:hint="eastAsia"/>
          <w:b/>
          <w:kern w:val="0"/>
          <w:sz w:val="24"/>
          <w:szCs w:val="24"/>
        </w:rPr>
        <w:t>L水，因此</w:t>
      </w:r>
      <w:r w:rsidR="00B03606">
        <w:rPr>
          <w:rFonts w:ascii="仿宋_GB2312" w:eastAsia="仿宋_GB2312" w:hAnsi="仿宋" w:cs="宋体" w:hint="eastAsia"/>
          <w:b/>
          <w:kern w:val="0"/>
          <w:sz w:val="24"/>
          <w:szCs w:val="24"/>
        </w:rPr>
        <w:t>，</w:t>
      </w:r>
      <w:r w:rsidRPr="006B711E">
        <w:rPr>
          <w:rFonts w:ascii="仿宋_GB2312" w:eastAsia="仿宋_GB2312" w:hAnsi="仿宋" w:cs="宋体" w:hint="eastAsia"/>
          <w:b/>
          <w:kern w:val="0"/>
          <w:sz w:val="24"/>
          <w:szCs w:val="24"/>
        </w:rPr>
        <w:t>项目选在图林根降水量最大的低山区。同时，为实施湿地生态系统修复，图林根州有林公司在立地中建立了保水系统，很多立地中具有水沟、水渠、水闸等设施，以保持该区域的湿润环境。该系统与中国2000多年前就已成功营造并传承至今的水稻湿润栽培环境类似。州有林公司水稻种植项目实施过程中聘请了中国水稻专家，特别借鉴了中国南方海拔1 000 m以上的水稻种植专业知识。与中国利用驯化水牛耕作的传统方式不同，图林根州则主要依靠其曾经用于木材运输的马匹。</w:t>
      </w:r>
      <w:r w:rsidRPr="006B711E">
        <w:rPr>
          <w:rFonts w:ascii="仿宋_GB2312" w:eastAsia="仿宋_GB2312" w:hAnsi="仿宋" w:cs="宋体" w:hint="eastAsia"/>
          <w:b/>
          <w:kern w:val="0"/>
          <w:sz w:val="24"/>
          <w:szCs w:val="24"/>
        </w:rPr>
        <w:br/>
        <w:t xml:space="preserve">　　州林业局认为该水稻种植计划与天然食品市场需求不断增长的趋势相吻合。目前，消费者可以在图林根州24个出售野生动物肉质产品的森林办事处购买具有“图林根沼泽米”品牌标识的有机大米。州有林公司正瞄准中国市场，希望在目前以木材出口为主的基础上推广有机大米对华出口。</w:t>
      </w:r>
    </w:p>
    <w:p w:rsidR="00F32547" w:rsidRPr="006B711E" w:rsidRDefault="00F32547" w:rsidP="00595E5D">
      <w:pPr>
        <w:widowControl/>
        <w:spacing w:beforeLines="80" w:afterLines="80" w:line="392" w:lineRule="exact"/>
        <w:jc w:val="center"/>
        <w:rPr>
          <w:rFonts w:ascii="黑体" w:eastAsia="黑体" w:hAnsi="黑体" w:cstheme="majorBidi"/>
          <w:b/>
          <w:bCs/>
          <w:color w:val="4F6228" w:themeColor="accent3" w:themeShade="80"/>
          <w:sz w:val="30"/>
          <w:szCs w:val="30"/>
        </w:rPr>
      </w:pPr>
      <w:r w:rsidRPr="006B711E">
        <w:rPr>
          <w:rFonts w:ascii="黑体" w:eastAsia="黑体" w:hAnsi="黑体" w:cstheme="majorBidi" w:hint="eastAsia"/>
          <w:b/>
          <w:bCs/>
          <w:color w:val="4F6228" w:themeColor="accent3" w:themeShade="80"/>
          <w:sz w:val="30"/>
          <w:szCs w:val="30"/>
        </w:rPr>
        <w:t>松针可为森林经营者带来额外经济收入</w:t>
      </w:r>
    </w:p>
    <w:p w:rsidR="00F32547" w:rsidRPr="006B711E" w:rsidRDefault="00F32547" w:rsidP="00ED5BB4">
      <w:pPr>
        <w:widowControl/>
        <w:spacing w:line="392" w:lineRule="exact"/>
        <w:rPr>
          <w:rFonts w:ascii="仿宋_GB2312" w:eastAsia="仿宋_GB2312" w:hAnsi="仿宋" w:cs="宋体"/>
          <w:b/>
          <w:kern w:val="0"/>
          <w:sz w:val="24"/>
          <w:szCs w:val="24"/>
        </w:rPr>
      </w:pPr>
      <w:r w:rsidRPr="006B711E">
        <w:rPr>
          <w:rFonts w:ascii="仿宋_GB2312" w:eastAsia="仿宋_GB2312" w:hAnsi="仿宋" w:cs="宋体" w:hint="eastAsia"/>
          <w:b/>
          <w:kern w:val="0"/>
          <w:sz w:val="24"/>
          <w:szCs w:val="24"/>
        </w:rPr>
        <w:t xml:space="preserve">　　美国阿拉巴马州奥本大学网站消息：对于土地所有者而言，获得利润是土地及相关自然资源管理者的主要目的。如果森林经营者利用土地培育松树，可以利用松针这种非木质林产品来获取额外的经济收益，尤其是在传统木材市场不景气的情况下。这将成为一种充分利用土地资源的良好方法。</w:t>
      </w:r>
      <w:r w:rsidRPr="006B711E">
        <w:rPr>
          <w:rFonts w:ascii="仿宋_GB2312" w:eastAsia="仿宋_GB2312" w:hAnsi="仿宋" w:cs="宋体" w:hint="eastAsia"/>
          <w:b/>
          <w:kern w:val="0"/>
          <w:sz w:val="24"/>
          <w:szCs w:val="24"/>
        </w:rPr>
        <w:br/>
        <w:t xml:space="preserve">　　来自奥本大学的阿贝基·巴洛教授从事林业和野生动物学研究，并且是阿拉巴马州农业、林业和自然资源技术推广中心专家及临时助理主任。一直以来，他都在推广松针收集利用方式，为林主创造获得额外收入的机会。作为一种自然生长过程，松针一般在生长两年后才会因为新松针的萌发而掉落，且在树龄达到35年时才会停止掉落。这些层层堆积在林地地面的松针其实是一种非木质林产品，森林经营者可以将它们堆集起来，以每英亩或每捆为单位出售给零售商、园林景观设计者和其他使用松针的人，从而取得额外的收入来源。</w:t>
      </w:r>
      <w:r w:rsidRPr="006B711E">
        <w:rPr>
          <w:rFonts w:ascii="仿宋_GB2312" w:eastAsia="仿宋_GB2312" w:hAnsi="仿宋" w:cs="宋体" w:hint="eastAsia"/>
          <w:b/>
          <w:kern w:val="0"/>
          <w:sz w:val="24"/>
          <w:szCs w:val="24"/>
        </w:rPr>
        <w:br/>
        <w:t xml:space="preserve">　　松针的一个普遍用途是作为覆盖物用于园林景观建设。相比其他覆盖物，松针覆盖物重量较轻，渗透性更强，不但可以防止土壤中的水蒸发，减少杂草生长，还有助于防止土壤压实和侵蚀，帮助植物周围的土壤温度保持稳定。这对于新栽植植物和浅根系植物非常重要。此外，松针腐烂速度较慢，可以在较长时间内发挥保护作用，而且在腐烂时能改善土壤结构，增加土壤中的养分含量。</w:t>
      </w:r>
      <w:r w:rsidRPr="006B711E">
        <w:rPr>
          <w:rFonts w:ascii="仿宋_GB2312" w:eastAsia="仿宋_GB2312" w:hAnsi="仿宋" w:cs="宋体" w:hint="eastAsia"/>
          <w:b/>
          <w:kern w:val="0"/>
          <w:sz w:val="24"/>
          <w:szCs w:val="24"/>
        </w:rPr>
        <w:br/>
        <w:t xml:space="preserve">　　巴洛指出，松针收集带来的收入会因地区、树种、松针质量以及整地与收集成本而异。总体而言，一般应在树龄8年时收集松针。收集太早可能会面临松针太少、破坏土壤养分等问题，而收集太迟则会因错失机会成本而影响经济收益。同时，森林经营者可根据松树林分状况采用不同的松针收集方式。在树木间距较大的地区，可以采用机械方式收集松针。例如，可以让采伐承包商利用拖拉机牵引的耙子，将松树树木之间的松针耙成堆，再用拖拉机牵引的大桶盛装松针，最后用金属丝或麻线进行捆扎。</w:t>
      </w:r>
      <w:r w:rsidRPr="006B711E">
        <w:rPr>
          <w:rFonts w:ascii="仿宋_GB2312" w:eastAsia="仿宋_GB2312" w:hAnsi="仿宋" w:cs="宋体" w:hint="eastAsia"/>
          <w:b/>
          <w:kern w:val="0"/>
          <w:sz w:val="24"/>
          <w:szCs w:val="24"/>
        </w:rPr>
        <w:lastRenderedPageBreak/>
        <w:t>在树木距离较近或需要进行低影响作业的林分中，人工收集松针是一种普遍采用的方法，即人们用耙子将树木之间的松针堆集在一起后放入袋子，压缩为立方后，以细绳捆扎固定。</w:t>
      </w:r>
    </w:p>
    <w:p w:rsidR="00F32547" w:rsidRPr="006B711E" w:rsidRDefault="00595E5D" w:rsidP="00ED5BB4">
      <w:pPr>
        <w:widowControl/>
        <w:spacing w:line="392" w:lineRule="exact"/>
        <w:rPr>
          <w:rFonts w:ascii="仿宋_GB2312" w:eastAsia="仿宋_GB2312" w:hAnsi="仿宋" w:cs="宋体"/>
          <w:b/>
          <w:kern w:val="0"/>
          <w:sz w:val="24"/>
          <w:szCs w:val="24"/>
        </w:rPr>
      </w:pPr>
      <w:r w:rsidRPr="00CE1A0E">
        <w:rPr>
          <w:rFonts w:asciiTheme="minorEastAsia" w:eastAsia="宋体" w:hAnsiTheme="minorEastAsia"/>
          <w:noProof/>
        </w:rPr>
        <w:pict>
          <v:shape id="_x0000_s2091" type="#_x0000_t98" style="position:absolute;left:0;text-align:left;margin-left:4.8pt;margin-top:4.6pt;width:94.5pt;height:48.9pt;z-index:251679744">
            <v:textbox style="mso-next-textbox:#_x0000_s2091">
              <w:txbxContent>
                <w:p w:rsidR="00D4341F" w:rsidRPr="004201D8" w:rsidRDefault="00D4341F" w:rsidP="00842844">
                  <w:pPr>
                    <w:rPr>
                      <w:b/>
                      <w:color w:val="984806" w:themeColor="accent6" w:themeShade="80"/>
                      <w:sz w:val="32"/>
                      <w:szCs w:val="32"/>
                    </w:rPr>
                  </w:pPr>
                  <w:r w:rsidRPr="004201D8">
                    <w:rPr>
                      <w:rFonts w:hint="eastAsia"/>
                      <w:b/>
                      <w:color w:val="984806" w:themeColor="accent6" w:themeShade="80"/>
                      <w:sz w:val="32"/>
                      <w:szCs w:val="32"/>
                    </w:rPr>
                    <w:t>科普之窗</w:t>
                  </w:r>
                </w:p>
              </w:txbxContent>
            </v:textbox>
          </v:shape>
        </w:pict>
      </w:r>
      <w:r w:rsidR="00F32547" w:rsidRPr="006B711E">
        <w:rPr>
          <w:rFonts w:ascii="仿宋_GB2312" w:eastAsia="仿宋_GB2312" w:hAnsi="仿宋" w:cs="宋体" w:hint="eastAsia"/>
          <w:b/>
          <w:kern w:val="0"/>
          <w:sz w:val="24"/>
          <w:szCs w:val="24"/>
        </w:rPr>
        <w:t xml:space="preserve">　　</w:t>
      </w:r>
    </w:p>
    <w:p w:rsidR="00C62665" w:rsidRPr="00C62665" w:rsidRDefault="00C62665" w:rsidP="00C62665">
      <w:pPr>
        <w:pStyle w:val="a8"/>
        <w:shd w:val="clear" w:color="auto" w:fill="FFFFFF"/>
        <w:spacing w:before="0" w:beforeAutospacing="0" w:after="0" w:afterAutospacing="0" w:line="400" w:lineRule="exact"/>
        <w:ind w:firstLine="480"/>
        <w:jc w:val="both"/>
        <w:rPr>
          <w:rFonts w:ascii="仿宋_GB2312" w:eastAsia="仿宋_GB2312"/>
          <w:b/>
        </w:rPr>
      </w:pPr>
    </w:p>
    <w:p w:rsidR="00EB1BEF" w:rsidRDefault="00EB1BEF" w:rsidP="00A76F92">
      <w:pPr>
        <w:widowControl/>
        <w:spacing w:line="392" w:lineRule="exact"/>
        <w:ind w:firstLineChars="200" w:firstLine="482"/>
        <w:rPr>
          <w:rFonts w:ascii="仿宋_GB2312" w:eastAsia="仿宋_GB2312" w:hAnsi="宋体" w:cs="宋体"/>
          <w:b/>
          <w:kern w:val="0"/>
          <w:sz w:val="24"/>
          <w:szCs w:val="24"/>
        </w:rPr>
      </w:pPr>
    </w:p>
    <w:tbl>
      <w:tblPr>
        <w:tblW w:w="5000" w:type="pct"/>
        <w:tblCellSpacing w:w="0" w:type="dxa"/>
        <w:tblCellMar>
          <w:left w:w="0" w:type="dxa"/>
          <w:right w:w="0" w:type="dxa"/>
        </w:tblCellMar>
        <w:tblLook w:val="04A0"/>
      </w:tblPr>
      <w:tblGrid>
        <w:gridCol w:w="8846"/>
      </w:tblGrid>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center"/>
              <w:rPr>
                <w:rFonts w:asciiTheme="minorEastAsia" w:hAnsiTheme="minorEastAsia" w:cs="宋体"/>
                <w:b/>
                <w:bCs/>
                <w:color w:val="4F6228" w:themeColor="accent3" w:themeShade="80"/>
                <w:kern w:val="0"/>
                <w:sz w:val="30"/>
                <w:szCs w:val="30"/>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left"/>
              <w:rPr>
                <w:rFonts w:ascii="仿宋" w:eastAsia="仿宋" w:hAnsi="仿宋" w:cs="宋体"/>
                <w:b/>
                <w:kern w:val="0"/>
                <w:sz w:val="24"/>
                <w:szCs w:val="24"/>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center"/>
              <w:rPr>
                <w:rFonts w:ascii="仿宋" w:eastAsia="仿宋" w:hAnsi="仿宋" w:cs="宋体"/>
                <w:b/>
                <w:kern w:val="0"/>
                <w:sz w:val="24"/>
                <w:szCs w:val="24"/>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left"/>
              <w:rPr>
                <w:rFonts w:ascii="仿宋" w:eastAsia="仿宋" w:hAnsi="仿宋" w:cs="宋体"/>
                <w:b/>
                <w:kern w:val="0"/>
                <w:sz w:val="24"/>
                <w:szCs w:val="24"/>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left"/>
              <w:rPr>
                <w:rFonts w:ascii="仿宋" w:eastAsia="仿宋" w:hAnsi="仿宋" w:cs="宋体"/>
                <w:b/>
                <w:kern w:val="0"/>
                <w:sz w:val="24"/>
                <w:szCs w:val="24"/>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left"/>
              <w:rPr>
                <w:rFonts w:ascii="仿宋" w:eastAsia="仿宋" w:hAnsi="仿宋" w:cs="宋体"/>
                <w:b/>
                <w:kern w:val="0"/>
                <w:sz w:val="24"/>
                <w:szCs w:val="24"/>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left"/>
              <w:rPr>
                <w:rFonts w:ascii="仿宋" w:eastAsia="仿宋" w:hAnsi="仿宋" w:cs="宋体"/>
                <w:b/>
                <w:kern w:val="0"/>
                <w:sz w:val="24"/>
                <w:szCs w:val="24"/>
              </w:rPr>
            </w:pPr>
          </w:p>
        </w:tc>
      </w:tr>
      <w:tr w:rsidR="00AA6624" w:rsidRPr="00B051CF" w:rsidTr="00AA6624">
        <w:trPr>
          <w:tblCellSpacing w:w="0" w:type="dxa"/>
        </w:trPr>
        <w:tc>
          <w:tcPr>
            <w:tcW w:w="0" w:type="auto"/>
            <w:vAlign w:val="center"/>
            <w:hideMark/>
          </w:tcPr>
          <w:p w:rsidR="00AA6624" w:rsidRPr="00AA6624" w:rsidRDefault="00AA6624" w:rsidP="00D0150A">
            <w:pPr>
              <w:widowControl/>
              <w:spacing w:line="392" w:lineRule="exact"/>
              <w:jc w:val="center"/>
              <w:rPr>
                <w:rFonts w:ascii="黑体" w:eastAsia="黑体" w:hAnsi="黑体" w:cs="宋体"/>
                <w:b/>
                <w:kern w:val="0"/>
                <w:sz w:val="30"/>
                <w:szCs w:val="30"/>
              </w:rPr>
            </w:pPr>
          </w:p>
        </w:tc>
      </w:tr>
      <w:tr w:rsidR="00AA6624" w:rsidRPr="00B051CF" w:rsidTr="00AA6624">
        <w:trPr>
          <w:tblCellSpacing w:w="0" w:type="dxa"/>
        </w:trPr>
        <w:tc>
          <w:tcPr>
            <w:tcW w:w="0" w:type="auto"/>
            <w:vAlign w:val="center"/>
            <w:hideMark/>
          </w:tcPr>
          <w:p w:rsidR="00AA6624" w:rsidRPr="00AA6624" w:rsidRDefault="00AA6624" w:rsidP="00D0150A">
            <w:pPr>
              <w:widowControl/>
              <w:spacing w:line="392" w:lineRule="exact"/>
              <w:jc w:val="left"/>
              <w:rPr>
                <w:rFonts w:ascii="仿宋" w:eastAsia="仿宋" w:hAnsi="仿宋" w:cs="宋体"/>
                <w:b/>
                <w:kern w:val="0"/>
                <w:sz w:val="24"/>
                <w:szCs w:val="24"/>
              </w:rPr>
            </w:pPr>
          </w:p>
        </w:tc>
      </w:tr>
      <w:tr w:rsidR="00FA0908" w:rsidRPr="00324C68" w:rsidTr="00FA0908">
        <w:trPr>
          <w:tblCellSpacing w:w="0" w:type="dxa"/>
        </w:trPr>
        <w:tc>
          <w:tcPr>
            <w:tcW w:w="0" w:type="auto"/>
            <w:vAlign w:val="center"/>
            <w:hideMark/>
          </w:tcPr>
          <w:p w:rsidR="00FA0908" w:rsidRPr="002C55AD" w:rsidRDefault="00FA0908" w:rsidP="00D0150A">
            <w:pPr>
              <w:widowControl/>
              <w:spacing w:line="392" w:lineRule="exact"/>
              <w:jc w:val="center"/>
              <w:rPr>
                <w:rFonts w:ascii="黑体" w:eastAsia="黑体" w:hAnsi="黑体" w:cs="宋体"/>
                <w:b/>
                <w:color w:val="4F6228" w:themeColor="accent3" w:themeShade="80"/>
                <w:kern w:val="0"/>
                <w:sz w:val="30"/>
                <w:szCs w:val="30"/>
              </w:rPr>
            </w:pPr>
          </w:p>
        </w:tc>
      </w:tr>
      <w:tr w:rsidR="00FA0908" w:rsidRPr="00D835EC" w:rsidTr="00FA0908">
        <w:trPr>
          <w:tblCellSpacing w:w="0" w:type="dxa"/>
        </w:trPr>
        <w:tc>
          <w:tcPr>
            <w:tcW w:w="0" w:type="auto"/>
            <w:vAlign w:val="center"/>
            <w:hideMark/>
          </w:tcPr>
          <w:p w:rsidR="00FA0908" w:rsidRPr="00FA0908" w:rsidRDefault="00FA0908" w:rsidP="00D0150A">
            <w:pPr>
              <w:widowControl/>
              <w:spacing w:line="392" w:lineRule="exact"/>
              <w:jc w:val="left"/>
              <w:rPr>
                <w:rFonts w:ascii="仿宋" w:eastAsia="仿宋" w:hAnsi="仿宋" w:cs="宋体"/>
                <w:b/>
                <w:kern w:val="0"/>
                <w:sz w:val="24"/>
                <w:szCs w:val="24"/>
              </w:rPr>
            </w:pPr>
          </w:p>
        </w:tc>
      </w:tr>
      <w:tr w:rsidR="00745819" w:rsidRPr="00061A11" w:rsidTr="00B35454">
        <w:trPr>
          <w:tblCellSpacing w:w="0" w:type="dxa"/>
        </w:trPr>
        <w:tc>
          <w:tcPr>
            <w:tcW w:w="0" w:type="auto"/>
            <w:vAlign w:val="center"/>
            <w:hideMark/>
          </w:tcPr>
          <w:p w:rsidR="00942020" w:rsidRPr="00061A11" w:rsidRDefault="00942020" w:rsidP="00D0150A">
            <w:pPr>
              <w:pStyle w:val="a8"/>
              <w:shd w:val="clear" w:color="auto" w:fill="FFFFFF"/>
              <w:spacing w:before="0" w:beforeAutospacing="0" w:after="0" w:afterAutospacing="0" w:line="392" w:lineRule="exact"/>
              <w:ind w:firstLine="480"/>
              <w:jc w:val="both"/>
              <w:rPr>
                <w:rFonts w:ascii="黑体" w:eastAsia="黑体" w:hAnsi="黑体"/>
                <w:b/>
                <w:bCs/>
                <w:sz w:val="30"/>
                <w:szCs w:val="30"/>
              </w:rPr>
            </w:pPr>
          </w:p>
        </w:tc>
      </w:tr>
    </w:tbl>
    <w:p w:rsidR="00E6099C" w:rsidRPr="006B711E" w:rsidRDefault="00E6099C" w:rsidP="00595E5D">
      <w:pPr>
        <w:pStyle w:val="ac"/>
        <w:spacing w:before="0" w:afterLines="70" w:line="392" w:lineRule="exact"/>
        <w:rPr>
          <w:rFonts w:ascii="黑体" w:eastAsia="黑体" w:hAnsi="黑体"/>
          <w:color w:val="4F6228" w:themeColor="accent3" w:themeShade="80"/>
          <w:sz w:val="30"/>
          <w:szCs w:val="30"/>
        </w:rPr>
      </w:pPr>
      <w:r w:rsidRPr="006B711E">
        <w:rPr>
          <w:rFonts w:ascii="黑体" w:eastAsia="黑体" w:hAnsi="黑体" w:hint="eastAsia"/>
          <w:color w:val="4F6228" w:themeColor="accent3" w:themeShade="80"/>
          <w:sz w:val="30"/>
          <w:szCs w:val="30"/>
        </w:rPr>
        <w:t>全球世界自然遗产总数增至218项</w:t>
      </w:r>
    </w:p>
    <w:p w:rsidR="00E6099C" w:rsidRPr="006B711E" w:rsidRDefault="00E6099C" w:rsidP="00ED5BB4">
      <w:pPr>
        <w:pStyle w:val="a8"/>
        <w:shd w:val="clear" w:color="auto" w:fill="FFFFFF"/>
        <w:spacing w:before="0" w:beforeAutospacing="0" w:after="0" w:afterAutospacing="0" w:line="392" w:lineRule="exact"/>
        <w:ind w:firstLine="480"/>
        <w:jc w:val="both"/>
        <w:rPr>
          <w:rFonts w:ascii="仿宋_GB2312" w:eastAsia="仿宋_GB2312" w:hAnsi="仿宋"/>
          <w:b/>
        </w:rPr>
      </w:pPr>
      <w:r w:rsidRPr="006B711E">
        <w:rPr>
          <w:rFonts w:ascii="仿宋_GB2312" w:eastAsia="仿宋_GB2312" w:hAnsi="仿宋" w:hint="eastAsia"/>
          <w:b/>
        </w:rPr>
        <w:t>第44届世界遗产大会获悉，全球的世界遗产总数量增至1154项，其中文化遗产897项，自然遗产218项，自然与文化双遗产39项。中国申报的“泉州：宋元中国的世界海洋商贸中心”成功通过审议加入《世界遗产名录》，至此，中国世界遗产项目增至56项。重庆五里坡国家级自然保护区以湖北神农架世界自然遗产边界微调的形式列入世界遗产地。</w:t>
      </w:r>
    </w:p>
    <w:p w:rsidR="00E6099C" w:rsidRPr="006B711E" w:rsidRDefault="00E6099C" w:rsidP="00ED5BB4">
      <w:pPr>
        <w:pStyle w:val="a8"/>
        <w:shd w:val="clear" w:color="auto" w:fill="FFFFFF"/>
        <w:spacing w:before="0" w:beforeAutospacing="0" w:after="0" w:afterAutospacing="0" w:line="392" w:lineRule="exact"/>
        <w:ind w:firstLine="480"/>
        <w:jc w:val="both"/>
        <w:rPr>
          <w:rFonts w:ascii="仿宋_GB2312" w:eastAsia="仿宋_GB2312" w:hAnsi="仿宋"/>
          <w:b/>
        </w:rPr>
      </w:pPr>
      <w:r w:rsidRPr="006B711E">
        <w:rPr>
          <w:rFonts w:ascii="仿宋_GB2312" w:eastAsia="仿宋_GB2312" w:hAnsi="仿宋" w:hint="eastAsia"/>
          <w:b/>
        </w:rPr>
        <w:t>大会期间，举办了 “2021年世界遗产青年专家论坛”“世界遗产地管理者论坛”两场论坛和13场主题边会。其中，由中国国家林业和草原局主办的“世界自然遗产与生物多样性：滨海候鸟栖息地的保护与可持续发展”和“世界自然遗产与自然保护地协同保护”两场主题边会获得圆满成功，国内外专家学者通过线上线下视频会议的方式，围绕世界自然遗产保护与发展进行充分交流研讨，达成一系列共识。</w:t>
      </w:r>
    </w:p>
    <w:p w:rsidR="00E6099C" w:rsidRPr="006B711E" w:rsidRDefault="00E6099C" w:rsidP="00ED5BB4">
      <w:pPr>
        <w:pStyle w:val="a8"/>
        <w:shd w:val="clear" w:color="auto" w:fill="FFFFFF"/>
        <w:spacing w:before="0" w:beforeAutospacing="0" w:after="0" w:afterAutospacing="0" w:line="392" w:lineRule="exact"/>
        <w:ind w:firstLine="480"/>
        <w:jc w:val="both"/>
        <w:rPr>
          <w:rFonts w:ascii="仿宋_GB2312" w:eastAsia="仿宋_GB2312" w:hAnsi="仿宋"/>
          <w:b/>
        </w:rPr>
      </w:pPr>
      <w:r w:rsidRPr="006B711E">
        <w:rPr>
          <w:rFonts w:ascii="仿宋_GB2312" w:eastAsia="仿宋_GB2312" w:hAnsi="仿宋" w:hint="eastAsia"/>
          <w:b/>
        </w:rPr>
        <w:t>大会通过了《福州宣言》，重申了世界遗产保护和开展国际合作的重要意义，强调了世界各国携手努力、共同应对气候变化的必要性。</w:t>
      </w:r>
    </w:p>
    <w:p w:rsidR="00E6099C" w:rsidRPr="006B711E" w:rsidRDefault="00E6099C" w:rsidP="00A76F92">
      <w:pPr>
        <w:widowControl/>
        <w:shd w:val="clear" w:color="auto" w:fill="FFFFFF"/>
        <w:spacing w:line="392" w:lineRule="exact"/>
        <w:ind w:firstLineChars="196" w:firstLine="472"/>
        <w:outlineLvl w:val="1"/>
        <w:rPr>
          <w:rFonts w:ascii="仿宋_GB2312" w:eastAsia="仿宋_GB2312" w:hAnsi="仿宋" w:cs="宋体"/>
          <w:b/>
          <w:kern w:val="0"/>
          <w:sz w:val="24"/>
          <w:szCs w:val="24"/>
        </w:rPr>
      </w:pPr>
      <w:r w:rsidRPr="006B711E">
        <w:rPr>
          <w:rFonts w:ascii="仿宋_GB2312" w:eastAsia="仿宋_GB2312" w:hAnsi="仿宋" w:cs="宋体" w:hint="eastAsia"/>
          <w:b/>
          <w:kern w:val="0"/>
          <w:sz w:val="24"/>
          <w:szCs w:val="24"/>
        </w:rPr>
        <w:t>第45届世界遗产大会将于2022年6月19日至30日在俄罗斯喀山举行。</w:t>
      </w:r>
    </w:p>
    <w:p w:rsidR="00BA180E" w:rsidRPr="00A670E6" w:rsidRDefault="00BA180E" w:rsidP="00595E5D">
      <w:pPr>
        <w:widowControl/>
        <w:spacing w:beforeLines="70" w:afterLines="70" w:line="392" w:lineRule="exact"/>
        <w:jc w:val="center"/>
        <w:rPr>
          <w:rFonts w:ascii="黑体" w:eastAsia="黑体" w:hAnsi="黑体"/>
          <w:b/>
          <w:sz w:val="30"/>
          <w:szCs w:val="30"/>
          <w:shd w:val="clear" w:color="auto" w:fill="FEF8E6"/>
        </w:rPr>
      </w:pPr>
      <w:r w:rsidRPr="006B711E">
        <w:rPr>
          <w:rFonts w:ascii="黑体" w:eastAsia="黑体" w:hAnsi="黑体" w:cstheme="majorBidi" w:hint="eastAsia"/>
          <w:b/>
          <w:bCs/>
          <w:color w:val="4F6228" w:themeColor="accent3" w:themeShade="80"/>
          <w:sz w:val="30"/>
          <w:szCs w:val="30"/>
        </w:rPr>
        <w:t>联合国报告显示全球受保护面积覆盖率近17%</w:t>
      </w:r>
    </w:p>
    <w:p w:rsidR="00BA180E" w:rsidRDefault="00665B4D" w:rsidP="00ED5BB4">
      <w:pPr>
        <w:pStyle w:val="2"/>
        <w:shd w:val="clear" w:color="auto" w:fill="FFFFFF"/>
        <w:spacing w:before="0" w:beforeAutospacing="0" w:after="0" w:afterAutospacing="0" w:line="392" w:lineRule="exact"/>
        <w:rPr>
          <w:rFonts w:ascii="仿宋_GB2312" w:eastAsia="仿宋_GB2312" w:hAnsi="仿宋" w:hint="eastAsia"/>
          <w:b/>
        </w:rPr>
      </w:pPr>
      <w:r w:rsidRPr="006B711E">
        <w:rPr>
          <w:rFonts w:ascii="仿宋_GB2312" w:eastAsia="仿宋_GB2312" w:hAnsi="仿宋" w:hint="eastAsia"/>
          <w:b/>
        </w:rPr>
        <w:t xml:space="preserve">     </w:t>
      </w:r>
      <w:r w:rsidR="00BA180E" w:rsidRPr="006B711E">
        <w:rPr>
          <w:rFonts w:ascii="仿宋_GB2312" w:eastAsia="仿宋_GB2312" w:hAnsi="仿宋" w:hint="eastAsia"/>
          <w:b/>
        </w:rPr>
        <w:t>联合国环境规划署日前报道，联合国环境规划署（UNEP）和国际自然保护联盟（IUCN）5月19日共同发布了《2020年保护地球报告》，对爱知生物多样性目标11的实现情况进行了评估与总结。爱知目标11是针对全球自然保护地设定的10年目标，旨在加强对自然保护地和保留地有效、公正的管理，确保至2020年至少17%的陆地与内陆水域以及10%的海岸与海洋得到保护，尤其是对于生物多样性和生态系统服务具有特殊重要性的区域。</w:t>
      </w:r>
      <w:r w:rsidR="00BA180E" w:rsidRPr="006B711E">
        <w:rPr>
          <w:rFonts w:ascii="仿宋_GB2312" w:eastAsia="仿宋_GB2312" w:hAnsi="仿宋" w:hint="eastAsia"/>
          <w:b/>
        </w:rPr>
        <w:br/>
        <w:t xml:space="preserve">　　目前，全球陆地自然保护地和保留地覆盖率已达16.64%，接近17%的爱知目标。受保护的陆地和内陆水域面积从2010年的2 020万km</w:t>
      </w:r>
      <w:r w:rsidR="00BA180E" w:rsidRPr="00AA378C">
        <w:rPr>
          <w:rFonts w:ascii="仿宋_GB2312" w:eastAsia="仿宋_GB2312" w:hAnsi="仿宋" w:hint="eastAsia"/>
          <w:b/>
          <w:vertAlign w:val="superscript"/>
        </w:rPr>
        <w:t>2</w:t>
      </w:r>
      <w:r w:rsidR="00BA180E" w:rsidRPr="006B711E">
        <w:rPr>
          <w:rFonts w:ascii="仿宋_GB2312" w:eastAsia="仿宋_GB2312" w:hAnsi="仿宋" w:hint="eastAsia"/>
          <w:b/>
        </w:rPr>
        <w:t>增加至目前的2 250万km</w:t>
      </w:r>
      <w:r w:rsidR="00BA180E" w:rsidRPr="00AA378C">
        <w:rPr>
          <w:rFonts w:ascii="仿宋_GB2312" w:eastAsia="仿宋_GB2312" w:hAnsi="仿宋" w:hint="eastAsia"/>
          <w:b/>
          <w:vertAlign w:val="superscript"/>
        </w:rPr>
        <w:t>2</w:t>
      </w:r>
      <w:r w:rsidR="00BA180E" w:rsidRPr="006B711E">
        <w:rPr>
          <w:rFonts w:ascii="仿宋_GB2312" w:eastAsia="仿宋_GB2312" w:hAnsi="仿宋" w:hint="eastAsia"/>
          <w:b/>
        </w:rPr>
        <w:t>。若进一步将全世界由原住民、地方社区和私营部门管理的地区纳入统计，则全球受保护的陆地比例将高于17%。</w:t>
      </w:r>
      <w:r w:rsidR="00BA180E" w:rsidRPr="006B711E">
        <w:rPr>
          <w:rFonts w:ascii="仿宋_GB2312" w:eastAsia="仿宋_GB2312" w:hAnsi="仿宋" w:hint="eastAsia"/>
          <w:b/>
        </w:rPr>
        <w:br/>
        <w:t xml:space="preserve">　　报告对生物多样性关键区域受保护情况进行了评估。截至2020年底，全球20.2%的陆地生物多样性关键区域得到全面保护。从国家层面来看，世界各国或地区约62.6%的生物多样性关键区域完全或部分被自然保护地和保留地覆盖，受保护的区域囊括了</w:t>
      </w:r>
      <w:r w:rsidR="00BA180E" w:rsidRPr="006B711E">
        <w:rPr>
          <w:rFonts w:ascii="仿宋_GB2312" w:eastAsia="仿宋_GB2312" w:hAnsi="仿宋" w:hint="eastAsia"/>
          <w:b/>
        </w:rPr>
        <w:lastRenderedPageBreak/>
        <w:t>越来越多具有代表性的生态系统类型，在全球821个陆地生态区中有44.5%达到了17%的目标。</w:t>
      </w:r>
    </w:p>
    <w:p w:rsidR="00595E5D" w:rsidRPr="006B711E" w:rsidRDefault="00595E5D" w:rsidP="00595E5D">
      <w:pPr>
        <w:widowControl/>
        <w:spacing w:line="392" w:lineRule="exact"/>
        <w:ind w:firstLineChars="196" w:firstLine="472"/>
        <w:rPr>
          <w:rFonts w:ascii="仿宋_GB2312" w:eastAsia="仿宋_GB2312" w:hAnsi="仿宋" w:cs="宋体"/>
          <w:b/>
          <w:kern w:val="0"/>
          <w:sz w:val="24"/>
          <w:szCs w:val="24"/>
        </w:rPr>
      </w:pPr>
      <w:r w:rsidRPr="002C68A2">
        <w:rPr>
          <w:rFonts w:ascii="仿宋_GB2312" w:eastAsia="仿宋_GB2312" w:hAnsi="仿宋" w:cs="宋体" w:hint="eastAsia"/>
          <w:b/>
          <w:kern w:val="0"/>
          <w:sz w:val="24"/>
          <w:szCs w:val="24"/>
        </w:rPr>
        <w:t>报告指出，尽管成果显著，但仍有多方面的保护工作任重道远，具体包括：1）全球陆地生物多样性关键区中仍有33.8%没有获得任何保护；2）全球陆地生态系统类型（生态区）当中仍有55.5%尚未达到17%的自然保护地和保留地覆盖率目标；3）当前全球保护区之间连通性较小，只有不到8%的地球表面符合“受保护且连通”的要求；4）在自然保护地中，仅有18.29%的区域针对管理的有效性开展了评估。</w:t>
      </w:r>
      <w:r w:rsidRPr="006B711E">
        <w:rPr>
          <w:rFonts w:ascii="仿宋_GB2312" w:eastAsia="仿宋_GB2312" w:hAnsi="仿宋" w:cs="宋体" w:hint="eastAsia"/>
          <w:b/>
          <w:kern w:val="0"/>
          <w:sz w:val="24"/>
          <w:szCs w:val="24"/>
        </w:rPr>
        <w:br/>
        <w:t xml:space="preserve">　　围绕2021年下半年即将达成的“2020年后全球生物多样性框架”，报告提出了以下5点展望：1）充分重视原住民、当地社区以及私营部门的努力，以当地自然守护人所接受的方式对相关领域的保护予以支持，有助于增加自然保护地和保留地覆盖率；2）扩大沿海水域之外的海洋保护地和保留地覆盖率；3）在现有的保护地网络体系基础上，增强新设立保护地的连通性、生态代表性和增加对生物多样性和生态系统服务具有特殊重要性的区域面积；4）扩大保护规模，采取行动聚焦规模小却彼此连通的自然保护地和保留地，加强跨界和区域合作；5）提高自然保护地和保留地管理的公正性及环境服务的普惠程度。</w:t>
      </w:r>
      <w:r w:rsidRPr="006B711E">
        <w:rPr>
          <w:rFonts w:ascii="仿宋_GB2312" w:eastAsia="仿宋_GB2312" w:hAnsi="仿宋" w:cs="宋体" w:hint="eastAsia"/>
          <w:b/>
          <w:kern w:val="0"/>
          <w:sz w:val="24"/>
          <w:szCs w:val="24"/>
        </w:rPr>
        <w:br/>
        <w:t xml:space="preserve">　　报告强调，自然保护地和保留地可为生物多样性提供避风港，惠益全球，自然保护地体系建设将成为推动“联合国生态系统恢复十年”倡议相关行动的关键工具。</w:t>
      </w:r>
    </w:p>
    <w:p w:rsidR="000A192F" w:rsidRPr="006B711E" w:rsidRDefault="000A192F" w:rsidP="00595E5D">
      <w:pPr>
        <w:pStyle w:val="2"/>
        <w:shd w:val="clear" w:color="auto" w:fill="FFFFFF"/>
        <w:spacing w:beforeLines="70" w:beforeAutospacing="0" w:afterLines="70" w:afterAutospacing="0" w:line="392" w:lineRule="exact"/>
        <w:jc w:val="center"/>
        <w:rPr>
          <w:rFonts w:ascii="黑体" w:eastAsia="黑体" w:hAnsi="黑体" w:cstheme="majorBidi"/>
          <w:b/>
          <w:bCs/>
          <w:color w:val="4F6228" w:themeColor="accent3" w:themeShade="80"/>
          <w:kern w:val="2"/>
          <w:sz w:val="30"/>
          <w:szCs w:val="30"/>
        </w:rPr>
      </w:pPr>
      <w:r w:rsidRPr="006B711E">
        <w:rPr>
          <w:rFonts w:ascii="黑体" w:eastAsia="黑体" w:hAnsi="黑体" w:cstheme="majorBidi" w:hint="eastAsia"/>
          <w:b/>
          <w:bCs/>
          <w:color w:val="4F6228" w:themeColor="accent3" w:themeShade="80"/>
          <w:kern w:val="2"/>
          <w:sz w:val="30"/>
          <w:szCs w:val="30"/>
        </w:rPr>
        <w:t>浙江构建覆盖全省的林业科普阵地</w:t>
      </w:r>
    </w:p>
    <w:p w:rsidR="000A192F" w:rsidRPr="006B711E" w:rsidRDefault="000A192F" w:rsidP="00A76F92">
      <w:pPr>
        <w:pStyle w:val="a8"/>
        <w:shd w:val="clear" w:color="auto" w:fill="FFFFFF"/>
        <w:spacing w:before="0" w:beforeAutospacing="0" w:after="0" w:afterAutospacing="0" w:line="392" w:lineRule="exact"/>
        <w:ind w:firstLineChars="200" w:firstLine="482"/>
        <w:rPr>
          <w:rFonts w:ascii="仿宋_GB2312" w:eastAsia="仿宋_GB2312" w:hAnsi="仿宋"/>
          <w:b/>
        </w:rPr>
      </w:pPr>
      <w:r w:rsidRPr="006B711E">
        <w:rPr>
          <w:rFonts w:ascii="仿宋_GB2312" w:eastAsia="仿宋_GB2312" w:hAnsi="仿宋" w:hint="eastAsia"/>
          <w:b/>
        </w:rPr>
        <w:t>浙江省林业局、省教育厅、省科学技术厅、省科学技术协会四部门日前联合发布实施意见，推进新阶段林业科普工作。</w:t>
      </w:r>
    </w:p>
    <w:p w:rsidR="000A192F" w:rsidRPr="006B711E" w:rsidRDefault="000A192F" w:rsidP="00ED5BB4">
      <w:pPr>
        <w:pStyle w:val="a8"/>
        <w:shd w:val="clear" w:color="auto" w:fill="FFFFFF"/>
        <w:spacing w:before="0" w:beforeAutospacing="0" w:after="0" w:afterAutospacing="0" w:line="392" w:lineRule="exact"/>
        <w:rPr>
          <w:rFonts w:ascii="仿宋_GB2312" w:eastAsia="仿宋_GB2312" w:hAnsi="仿宋"/>
          <w:b/>
        </w:rPr>
      </w:pPr>
      <w:r w:rsidRPr="006B711E">
        <w:rPr>
          <w:rFonts w:ascii="仿宋_GB2312" w:eastAsia="仿宋_GB2312" w:hAnsi="仿宋" w:hint="eastAsia"/>
          <w:b/>
        </w:rPr>
        <w:t xml:space="preserve">　　意见提出，到2025年构建覆盖全省、布局合理、形式多样、设施齐全的林业科普阵地，建设一批主题鲜明的科普基地、自然教育学校（基地）等，建设国家林业科普基地或国家自然教育学校（基地）10家以上，认定省级林业科普基地50家以上、自然教育学校20家以上。</w:t>
      </w:r>
    </w:p>
    <w:p w:rsidR="000A192F" w:rsidRDefault="000A192F" w:rsidP="00ED5BB4">
      <w:pPr>
        <w:pStyle w:val="a8"/>
        <w:shd w:val="clear" w:color="auto" w:fill="FFFFFF"/>
        <w:spacing w:before="0" w:beforeAutospacing="0" w:after="0" w:afterAutospacing="0" w:line="392" w:lineRule="exact"/>
        <w:rPr>
          <w:rFonts w:ascii="仿宋_GB2312" w:eastAsia="仿宋_GB2312" w:hAnsi="仿宋"/>
          <w:b/>
        </w:rPr>
      </w:pPr>
      <w:r w:rsidRPr="006B711E">
        <w:rPr>
          <w:rFonts w:ascii="仿宋_GB2312" w:eastAsia="仿宋_GB2312" w:hAnsi="仿宋" w:hint="eastAsia"/>
          <w:b/>
        </w:rPr>
        <w:t xml:space="preserve">　　近年来，浙江省林业科普工作取得显著成效。省林业局科技处2020年被授予“全国科普工作先进集体”称号，连续举办17届全省林业科技周，连续9年组织参加浙江省政协“走进基层、走进群众——送科技下乡”活动。各级科研院校，各类自然保护地，省林学会、生态文化协会等社团组织，市、县（区）的国有林场、植物园等开展了科普大本营、科普讲座、自然教育、有奖征文等活动。在今年的全国林草科普讲解大赛中，浙江省1名选手荣获一等奖和“金牌讲解员”称号，浙江省林业局荣获优秀组织奖。</w:t>
      </w:r>
    </w:p>
    <w:p w:rsidR="00181150" w:rsidRDefault="00CE1A0E" w:rsidP="009A134E">
      <w:pPr>
        <w:widowControl/>
        <w:spacing w:line="400" w:lineRule="exact"/>
        <w:ind w:firstLineChars="200" w:firstLine="480"/>
        <w:rPr>
          <w:rFonts w:ascii="仿宋_GB2312" w:eastAsia="仿宋_GB2312" w:hAnsi="宋体" w:cs="宋体"/>
          <w:b/>
          <w:kern w:val="0"/>
          <w:sz w:val="24"/>
          <w:szCs w:val="24"/>
        </w:rPr>
      </w:pPr>
      <w:r w:rsidRPr="00CE1A0E">
        <w:rPr>
          <w:rFonts w:asciiTheme="minorEastAsia" w:hAnsiTheme="minorEastAsia" w:cs="宋体"/>
          <w:noProof/>
          <w:kern w:val="0"/>
          <w:sz w:val="24"/>
          <w:szCs w:val="24"/>
        </w:rPr>
        <w:pict>
          <v:shape id="_x0000_s2068" type="#_x0000_t32" style="position:absolute;left:0;text-align:left;margin-left:.3pt;margin-top:10.3pt;width:440.25pt;height:3pt;flip:y;z-index:251667456" o:connectortype="straight"/>
        </w:pict>
      </w:r>
    </w:p>
    <w:p w:rsidR="009F226D" w:rsidRPr="00B20E31" w:rsidRDefault="0049777A" w:rsidP="00A6605F">
      <w:pPr>
        <w:spacing w:line="440" w:lineRule="exact"/>
        <w:jc w:val="left"/>
        <w:rPr>
          <w:rFonts w:asciiTheme="minorEastAsia" w:hAnsiTheme="minorEastAsia" w:cs="宋体"/>
          <w:b/>
          <w:kern w:val="0"/>
          <w:sz w:val="24"/>
          <w:szCs w:val="24"/>
        </w:rPr>
      </w:pPr>
      <w:r>
        <w:rPr>
          <w:rFonts w:asciiTheme="minorEastAsia" w:hAnsiTheme="minorEastAsia" w:cs="宋体" w:hint="eastAsia"/>
          <w:b/>
          <w:kern w:val="0"/>
          <w:sz w:val="24"/>
          <w:szCs w:val="24"/>
        </w:rPr>
        <w:t xml:space="preserve">    </w:t>
      </w:r>
      <w:r w:rsidR="00B56CC9" w:rsidRPr="00B20E31">
        <w:rPr>
          <w:rFonts w:asciiTheme="minorEastAsia" w:hAnsiTheme="minorEastAsia" w:cs="宋体" w:hint="eastAsia"/>
          <w:b/>
          <w:kern w:val="0"/>
          <w:sz w:val="24"/>
          <w:szCs w:val="24"/>
        </w:rPr>
        <w:t>主  编：</w:t>
      </w:r>
      <w:r w:rsidR="007D6ED5" w:rsidRPr="00B20E31">
        <w:rPr>
          <w:rFonts w:asciiTheme="minorEastAsia" w:hAnsiTheme="minorEastAsia" w:cs="宋体" w:hint="eastAsia"/>
          <w:b/>
          <w:kern w:val="0"/>
          <w:sz w:val="24"/>
          <w:szCs w:val="24"/>
        </w:rPr>
        <w:t xml:space="preserve">姚露贤 </w:t>
      </w:r>
      <w:r w:rsidR="00A6605F">
        <w:rPr>
          <w:rFonts w:asciiTheme="minorEastAsia" w:hAnsiTheme="minorEastAsia" w:cs="宋体" w:hint="eastAsia"/>
          <w:b/>
          <w:kern w:val="0"/>
          <w:sz w:val="24"/>
          <w:szCs w:val="24"/>
        </w:rPr>
        <w:t xml:space="preserve">    </w:t>
      </w:r>
      <w:r w:rsidR="00D45C1A">
        <w:rPr>
          <w:rFonts w:asciiTheme="minorEastAsia" w:hAnsiTheme="minorEastAsia" w:cs="宋体" w:hint="eastAsia"/>
          <w:b/>
          <w:kern w:val="0"/>
          <w:sz w:val="24"/>
          <w:szCs w:val="24"/>
        </w:rPr>
        <w:t xml:space="preserve">    </w:t>
      </w:r>
      <w:r w:rsidR="00B60051">
        <w:rPr>
          <w:rFonts w:asciiTheme="minorEastAsia" w:hAnsiTheme="minorEastAsia" w:cs="宋体" w:hint="eastAsia"/>
          <w:b/>
          <w:kern w:val="0"/>
          <w:sz w:val="24"/>
          <w:szCs w:val="24"/>
        </w:rPr>
        <w:t xml:space="preserve">  </w:t>
      </w:r>
      <w:r w:rsidR="00CD6E29">
        <w:rPr>
          <w:rFonts w:asciiTheme="minorEastAsia" w:hAnsiTheme="minorEastAsia" w:cs="宋体" w:hint="eastAsia"/>
          <w:b/>
          <w:kern w:val="0"/>
          <w:sz w:val="24"/>
          <w:szCs w:val="24"/>
        </w:rPr>
        <w:t xml:space="preserve">     </w:t>
      </w:r>
      <w:r w:rsidR="00B60051">
        <w:rPr>
          <w:rFonts w:asciiTheme="minorEastAsia" w:hAnsiTheme="minorEastAsia" w:cs="宋体" w:hint="eastAsia"/>
          <w:b/>
          <w:kern w:val="0"/>
          <w:sz w:val="24"/>
          <w:szCs w:val="24"/>
        </w:rPr>
        <w:t xml:space="preserve">  </w:t>
      </w:r>
      <w:r w:rsidR="009A134E">
        <w:rPr>
          <w:rFonts w:asciiTheme="minorEastAsia" w:hAnsiTheme="minorEastAsia" w:cs="宋体" w:hint="eastAsia"/>
          <w:b/>
          <w:kern w:val="0"/>
          <w:sz w:val="24"/>
          <w:szCs w:val="24"/>
        </w:rPr>
        <w:t xml:space="preserve">    </w:t>
      </w:r>
      <w:r w:rsidR="009F226D" w:rsidRPr="00B20E31">
        <w:rPr>
          <w:rFonts w:asciiTheme="minorEastAsia" w:hAnsiTheme="minorEastAsia" w:cs="宋体" w:hint="eastAsia"/>
          <w:b/>
          <w:kern w:val="0"/>
          <w:sz w:val="24"/>
          <w:szCs w:val="24"/>
        </w:rPr>
        <w:t>责任编辑：</w:t>
      </w:r>
      <w:r w:rsidR="007E3C3B" w:rsidRPr="00B20E31">
        <w:rPr>
          <w:rFonts w:asciiTheme="minorEastAsia" w:hAnsiTheme="minorEastAsia" w:cs="宋体" w:hint="eastAsia"/>
          <w:b/>
          <w:kern w:val="0"/>
          <w:sz w:val="24"/>
          <w:szCs w:val="24"/>
        </w:rPr>
        <w:t xml:space="preserve"> 魏松艳</w:t>
      </w:r>
      <w:r w:rsidR="004026C1">
        <w:rPr>
          <w:rFonts w:asciiTheme="minorEastAsia" w:hAnsiTheme="minorEastAsia" w:cs="宋体" w:hint="eastAsia"/>
          <w:b/>
          <w:kern w:val="0"/>
          <w:sz w:val="24"/>
          <w:szCs w:val="24"/>
        </w:rPr>
        <w:t xml:space="preserve"> </w:t>
      </w:r>
      <w:r w:rsidR="00D0150A">
        <w:rPr>
          <w:rFonts w:asciiTheme="minorEastAsia" w:hAnsiTheme="minorEastAsia" w:cs="宋体" w:hint="eastAsia"/>
          <w:b/>
          <w:kern w:val="0"/>
          <w:sz w:val="24"/>
          <w:szCs w:val="24"/>
        </w:rPr>
        <w:t xml:space="preserve">  </w:t>
      </w:r>
      <w:r w:rsidR="004026C1">
        <w:rPr>
          <w:rFonts w:asciiTheme="minorEastAsia" w:hAnsiTheme="minorEastAsia" w:cs="宋体" w:hint="eastAsia"/>
          <w:b/>
          <w:kern w:val="0"/>
          <w:sz w:val="24"/>
          <w:szCs w:val="24"/>
        </w:rPr>
        <w:t xml:space="preserve"> 陈</w:t>
      </w:r>
      <w:r w:rsidR="00B03400">
        <w:rPr>
          <w:rFonts w:asciiTheme="minorEastAsia" w:hAnsiTheme="minorEastAsia" w:cs="宋体" w:hint="eastAsia"/>
          <w:b/>
          <w:kern w:val="0"/>
          <w:sz w:val="24"/>
          <w:szCs w:val="24"/>
        </w:rPr>
        <w:t xml:space="preserve">  </w:t>
      </w:r>
      <w:r w:rsidR="004026C1">
        <w:rPr>
          <w:rFonts w:asciiTheme="minorEastAsia" w:hAnsiTheme="minorEastAsia" w:cs="宋体" w:hint="eastAsia"/>
          <w:b/>
          <w:kern w:val="0"/>
          <w:sz w:val="24"/>
          <w:szCs w:val="24"/>
        </w:rPr>
        <w:t>玲</w:t>
      </w:r>
    </w:p>
    <w:p w:rsidR="00500A0A" w:rsidRPr="000C5AD4" w:rsidRDefault="00B03400" w:rsidP="00FF558F">
      <w:pPr>
        <w:widowControl/>
        <w:spacing w:line="440" w:lineRule="exact"/>
        <w:rPr>
          <w:rFonts w:asciiTheme="minorEastAsia" w:hAnsiTheme="minorEastAsia" w:cs="宋体"/>
          <w:b/>
          <w:kern w:val="0"/>
          <w:sz w:val="24"/>
          <w:szCs w:val="24"/>
        </w:rPr>
      </w:pPr>
      <w:r>
        <w:rPr>
          <w:rFonts w:asciiTheme="minorEastAsia" w:hAnsiTheme="minorEastAsia" w:cs="宋体" w:hint="eastAsia"/>
          <w:b/>
          <w:kern w:val="0"/>
          <w:sz w:val="24"/>
          <w:szCs w:val="24"/>
        </w:rPr>
        <w:t xml:space="preserve">    </w:t>
      </w:r>
      <w:r w:rsidR="0049777A">
        <w:rPr>
          <w:rFonts w:asciiTheme="minorEastAsia" w:hAnsiTheme="minorEastAsia" w:cs="宋体" w:hint="eastAsia"/>
          <w:b/>
          <w:kern w:val="0"/>
          <w:sz w:val="24"/>
          <w:szCs w:val="24"/>
        </w:rPr>
        <w:t xml:space="preserve">地址：长春市经开区临河街3528号     </w:t>
      </w:r>
      <w:r w:rsidR="0049777A" w:rsidRPr="00B20E31">
        <w:rPr>
          <w:rFonts w:asciiTheme="minorEastAsia" w:hAnsiTheme="minorEastAsia" w:cs="宋体" w:hint="eastAsia"/>
          <w:b/>
          <w:kern w:val="0"/>
          <w:sz w:val="24"/>
          <w:szCs w:val="24"/>
        </w:rPr>
        <w:t xml:space="preserve">电话：0431- 85850400 </w:t>
      </w:r>
    </w:p>
    <w:sectPr w:rsidR="00500A0A" w:rsidRPr="000C5AD4" w:rsidSect="00BA4CB5">
      <w:footerReference w:type="default" r:id="rId8"/>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1300" w:rsidRDefault="00561300" w:rsidP="00A10CA5">
      <w:r>
        <w:separator/>
      </w:r>
    </w:p>
  </w:endnote>
  <w:endnote w:type="continuationSeparator" w:id="1">
    <w:p w:rsidR="00561300" w:rsidRDefault="00561300" w:rsidP="00A10CA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default"/>
    <w:sig w:usb0="00000000"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D4341F" w:rsidRDefault="00CE1A0E" w:rsidP="005E09BF">
        <w:pPr>
          <w:pStyle w:val="a4"/>
          <w:numPr>
            <w:ilvl w:val="0"/>
            <w:numId w:val="1"/>
          </w:numPr>
          <w:jc w:val="center"/>
        </w:pPr>
        <w:fldSimple w:instr=" PAGE   \* MERGEFORMAT ">
          <w:r w:rsidR="002A1F76" w:rsidRPr="002A1F76">
            <w:rPr>
              <w:noProof/>
              <w:lang w:val="zh-CN"/>
            </w:rPr>
            <w:t>15</w:t>
          </w:r>
        </w:fldSimple>
        <w:r w:rsidR="00D4341F">
          <w:rPr>
            <w:rFonts w:hint="eastAsia"/>
          </w:rPr>
          <w:t xml:space="preserve">  </w:t>
        </w:r>
        <w:r w:rsidR="00D4341F">
          <w:rPr>
            <w:rFonts w:hint="eastAsia"/>
          </w:rPr>
          <w:t>—</w:t>
        </w:r>
      </w:p>
    </w:sdtContent>
  </w:sdt>
  <w:p w:rsidR="00D4341F" w:rsidRDefault="00D4341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1300" w:rsidRDefault="00561300" w:rsidP="00A10CA5">
      <w:r>
        <w:separator/>
      </w:r>
    </w:p>
  </w:footnote>
  <w:footnote w:type="continuationSeparator" w:id="1">
    <w:p w:rsidR="00561300" w:rsidRDefault="00561300"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45312D2F"/>
    <w:multiLevelType w:val="hybridMultilevel"/>
    <w:tmpl w:val="EE2A7836"/>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nsid w:val="5212481E"/>
    <w:multiLevelType w:val="hybridMultilevel"/>
    <w:tmpl w:val="5938185C"/>
    <w:lvl w:ilvl="0" w:tplc="0409000B">
      <w:start w:val="1"/>
      <w:numFmt w:val="bullet"/>
      <w:lvlText w:val=""/>
      <w:lvlJc w:val="left"/>
      <w:pPr>
        <w:ind w:left="704" w:hanging="420"/>
      </w:pPr>
      <w:rPr>
        <w:rFonts w:ascii="Wingdings" w:hAnsi="Wingdings" w:hint="default"/>
      </w:rPr>
    </w:lvl>
    <w:lvl w:ilvl="1" w:tplc="04090003" w:tentative="1">
      <w:start w:val="1"/>
      <w:numFmt w:val="bullet"/>
      <w:lvlText w:val=""/>
      <w:lvlJc w:val="left"/>
      <w:pPr>
        <w:ind w:left="1250" w:hanging="420"/>
      </w:pPr>
      <w:rPr>
        <w:rFonts w:ascii="Wingdings" w:hAnsi="Wingdings" w:hint="default"/>
      </w:rPr>
    </w:lvl>
    <w:lvl w:ilvl="2" w:tplc="04090005" w:tentative="1">
      <w:start w:val="1"/>
      <w:numFmt w:val="bullet"/>
      <w:lvlText w:val=""/>
      <w:lvlJc w:val="left"/>
      <w:pPr>
        <w:ind w:left="1670" w:hanging="420"/>
      </w:pPr>
      <w:rPr>
        <w:rFonts w:ascii="Wingdings" w:hAnsi="Wingdings" w:hint="default"/>
      </w:rPr>
    </w:lvl>
    <w:lvl w:ilvl="3" w:tplc="04090001" w:tentative="1">
      <w:start w:val="1"/>
      <w:numFmt w:val="bullet"/>
      <w:lvlText w:val=""/>
      <w:lvlJc w:val="left"/>
      <w:pPr>
        <w:ind w:left="2090" w:hanging="420"/>
      </w:pPr>
      <w:rPr>
        <w:rFonts w:ascii="Wingdings" w:hAnsi="Wingdings" w:hint="default"/>
      </w:rPr>
    </w:lvl>
    <w:lvl w:ilvl="4" w:tplc="04090003" w:tentative="1">
      <w:start w:val="1"/>
      <w:numFmt w:val="bullet"/>
      <w:lvlText w:val=""/>
      <w:lvlJc w:val="left"/>
      <w:pPr>
        <w:ind w:left="2510" w:hanging="420"/>
      </w:pPr>
      <w:rPr>
        <w:rFonts w:ascii="Wingdings" w:hAnsi="Wingdings" w:hint="default"/>
      </w:rPr>
    </w:lvl>
    <w:lvl w:ilvl="5" w:tplc="04090005" w:tentative="1">
      <w:start w:val="1"/>
      <w:numFmt w:val="bullet"/>
      <w:lvlText w:val=""/>
      <w:lvlJc w:val="left"/>
      <w:pPr>
        <w:ind w:left="2930" w:hanging="420"/>
      </w:pPr>
      <w:rPr>
        <w:rFonts w:ascii="Wingdings" w:hAnsi="Wingdings" w:hint="default"/>
      </w:rPr>
    </w:lvl>
    <w:lvl w:ilvl="6" w:tplc="04090001" w:tentative="1">
      <w:start w:val="1"/>
      <w:numFmt w:val="bullet"/>
      <w:lvlText w:val=""/>
      <w:lvlJc w:val="left"/>
      <w:pPr>
        <w:ind w:left="3350" w:hanging="420"/>
      </w:pPr>
      <w:rPr>
        <w:rFonts w:ascii="Wingdings" w:hAnsi="Wingdings" w:hint="default"/>
      </w:rPr>
    </w:lvl>
    <w:lvl w:ilvl="7" w:tplc="04090003" w:tentative="1">
      <w:start w:val="1"/>
      <w:numFmt w:val="bullet"/>
      <w:lvlText w:val=""/>
      <w:lvlJc w:val="left"/>
      <w:pPr>
        <w:ind w:left="3770" w:hanging="420"/>
      </w:pPr>
      <w:rPr>
        <w:rFonts w:ascii="Wingdings" w:hAnsi="Wingdings" w:hint="default"/>
      </w:rPr>
    </w:lvl>
    <w:lvl w:ilvl="8" w:tplc="04090005" w:tentative="1">
      <w:start w:val="1"/>
      <w:numFmt w:val="bullet"/>
      <w:lvlText w:val=""/>
      <w:lvlJc w:val="left"/>
      <w:pPr>
        <w:ind w:left="4190" w:hanging="420"/>
      </w:pPr>
      <w:rPr>
        <w:rFonts w:ascii="Wingdings" w:hAnsi="Wingdings" w:hint="default"/>
      </w:rPr>
    </w:lvl>
  </w:abstractNum>
  <w:abstractNum w:abstractNumId="4">
    <w:nsid w:val="62E700E5"/>
    <w:multiLevelType w:val="hybridMultilevel"/>
    <w:tmpl w:val="DEF4B4E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67DB11C4"/>
    <w:multiLevelType w:val="hybridMultilevel"/>
    <w:tmpl w:val="88A81C9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 w:numId="6">
    <w:abstractNumId w:val="5"/>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01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0CA5"/>
    <w:rsid w:val="000005EA"/>
    <w:rsid w:val="00000A72"/>
    <w:rsid w:val="00001C24"/>
    <w:rsid w:val="00003F1E"/>
    <w:rsid w:val="00004E9B"/>
    <w:rsid w:val="00005931"/>
    <w:rsid w:val="000076F8"/>
    <w:rsid w:val="00007901"/>
    <w:rsid w:val="00010FF7"/>
    <w:rsid w:val="000123C4"/>
    <w:rsid w:val="000143A5"/>
    <w:rsid w:val="000150E3"/>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4289D"/>
    <w:rsid w:val="00042C65"/>
    <w:rsid w:val="00045EC6"/>
    <w:rsid w:val="000520C3"/>
    <w:rsid w:val="00052687"/>
    <w:rsid w:val="00053048"/>
    <w:rsid w:val="000600C7"/>
    <w:rsid w:val="000619E3"/>
    <w:rsid w:val="00062740"/>
    <w:rsid w:val="00064E2C"/>
    <w:rsid w:val="000653EF"/>
    <w:rsid w:val="00066430"/>
    <w:rsid w:val="000670F9"/>
    <w:rsid w:val="00067C3B"/>
    <w:rsid w:val="000705BD"/>
    <w:rsid w:val="00070BA3"/>
    <w:rsid w:val="000726F9"/>
    <w:rsid w:val="00072B6D"/>
    <w:rsid w:val="00072C31"/>
    <w:rsid w:val="00077334"/>
    <w:rsid w:val="000775EA"/>
    <w:rsid w:val="00080172"/>
    <w:rsid w:val="000804A0"/>
    <w:rsid w:val="00083312"/>
    <w:rsid w:val="00083524"/>
    <w:rsid w:val="00083697"/>
    <w:rsid w:val="0008391E"/>
    <w:rsid w:val="00083BAD"/>
    <w:rsid w:val="000840CD"/>
    <w:rsid w:val="000864BA"/>
    <w:rsid w:val="00086666"/>
    <w:rsid w:val="00087216"/>
    <w:rsid w:val="00091896"/>
    <w:rsid w:val="00092755"/>
    <w:rsid w:val="00094652"/>
    <w:rsid w:val="00096F3B"/>
    <w:rsid w:val="00097178"/>
    <w:rsid w:val="00097278"/>
    <w:rsid w:val="00097D09"/>
    <w:rsid w:val="000A11E6"/>
    <w:rsid w:val="000A192F"/>
    <w:rsid w:val="000A1B10"/>
    <w:rsid w:val="000A30CC"/>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C5AD4"/>
    <w:rsid w:val="000C5D3A"/>
    <w:rsid w:val="000D26F3"/>
    <w:rsid w:val="000D366B"/>
    <w:rsid w:val="000D4253"/>
    <w:rsid w:val="000D4C1E"/>
    <w:rsid w:val="000D5288"/>
    <w:rsid w:val="000D6656"/>
    <w:rsid w:val="000D6F7C"/>
    <w:rsid w:val="000D7F6F"/>
    <w:rsid w:val="000E1EF5"/>
    <w:rsid w:val="000E1F4F"/>
    <w:rsid w:val="000E2584"/>
    <w:rsid w:val="000E2DE8"/>
    <w:rsid w:val="000E659E"/>
    <w:rsid w:val="000E7668"/>
    <w:rsid w:val="000F0ABA"/>
    <w:rsid w:val="000F1FEB"/>
    <w:rsid w:val="000F2CD1"/>
    <w:rsid w:val="000F3BD5"/>
    <w:rsid w:val="000F481B"/>
    <w:rsid w:val="000F592A"/>
    <w:rsid w:val="000F6164"/>
    <w:rsid w:val="000F6813"/>
    <w:rsid w:val="000F7160"/>
    <w:rsid w:val="001003BB"/>
    <w:rsid w:val="0010145B"/>
    <w:rsid w:val="0010254D"/>
    <w:rsid w:val="001047D5"/>
    <w:rsid w:val="0010564D"/>
    <w:rsid w:val="00106A05"/>
    <w:rsid w:val="00106FC0"/>
    <w:rsid w:val="00112BFA"/>
    <w:rsid w:val="00115EF1"/>
    <w:rsid w:val="00120DDA"/>
    <w:rsid w:val="001214D2"/>
    <w:rsid w:val="00122EEF"/>
    <w:rsid w:val="0012426D"/>
    <w:rsid w:val="00124B7F"/>
    <w:rsid w:val="0012750B"/>
    <w:rsid w:val="001303D8"/>
    <w:rsid w:val="0013205A"/>
    <w:rsid w:val="001320A2"/>
    <w:rsid w:val="0013292A"/>
    <w:rsid w:val="00132D62"/>
    <w:rsid w:val="00136689"/>
    <w:rsid w:val="00137057"/>
    <w:rsid w:val="0014122D"/>
    <w:rsid w:val="001417DE"/>
    <w:rsid w:val="001425D8"/>
    <w:rsid w:val="0014279B"/>
    <w:rsid w:val="00142D32"/>
    <w:rsid w:val="00142E42"/>
    <w:rsid w:val="0014318E"/>
    <w:rsid w:val="00144866"/>
    <w:rsid w:val="00144981"/>
    <w:rsid w:val="00146408"/>
    <w:rsid w:val="001469D3"/>
    <w:rsid w:val="00146B44"/>
    <w:rsid w:val="0015441D"/>
    <w:rsid w:val="00154424"/>
    <w:rsid w:val="001556AA"/>
    <w:rsid w:val="00156C4A"/>
    <w:rsid w:val="00157A26"/>
    <w:rsid w:val="00161B95"/>
    <w:rsid w:val="00163259"/>
    <w:rsid w:val="00165975"/>
    <w:rsid w:val="00165EC6"/>
    <w:rsid w:val="00170086"/>
    <w:rsid w:val="00170318"/>
    <w:rsid w:val="0017075F"/>
    <w:rsid w:val="001715B0"/>
    <w:rsid w:val="00171C8A"/>
    <w:rsid w:val="00171D24"/>
    <w:rsid w:val="0017251A"/>
    <w:rsid w:val="0017257C"/>
    <w:rsid w:val="00172AEE"/>
    <w:rsid w:val="00173259"/>
    <w:rsid w:val="001734FF"/>
    <w:rsid w:val="001757F3"/>
    <w:rsid w:val="00181150"/>
    <w:rsid w:val="0018497B"/>
    <w:rsid w:val="001859EB"/>
    <w:rsid w:val="00185BEE"/>
    <w:rsid w:val="001870BD"/>
    <w:rsid w:val="00187677"/>
    <w:rsid w:val="00190C40"/>
    <w:rsid w:val="001910B5"/>
    <w:rsid w:val="00191741"/>
    <w:rsid w:val="00192C14"/>
    <w:rsid w:val="001935A6"/>
    <w:rsid w:val="00195204"/>
    <w:rsid w:val="00196E3F"/>
    <w:rsid w:val="001A02CB"/>
    <w:rsid w:val="001A39A0"/>
    <w:rsid w:val="001A475C"/>
    <w:rsid w:val="001A7C8D"/>
    <w:rsid w:val="001B03E5"/>
    <w:rsid w:val="001B04D1"/>
    <w:rsid w:val="001B1321"/>
    <w:rsid w:val="001B172C"/>
    <w:rsid w:val="001B1BFB"/>
    <w:rsid w:val="001B2518"/>
    <w:rsid w:val="001B2BC9"/>
    <w:rsid w:val="001B469F"/>
    <w:rsid w:val="001B57EB"/>
    <w:rsid w:val="001B5A19"/>
    <w:rsid w:val="001B77D7"/>
    <w:rsid w:val="001B7A44"/>
    <w:rsid w:val="001C03C9"/>
    <w:rsid w:val="001C0E3F"/>
    <w:rsid w:val="001C20D0"/>
    <w:rsid w:val="001C2380"/>
    <w:rsid w:val="001C367F"/>
    <w:rsid w:val="001C445F"/>
    <w:rsid w:val="001C4547"/>
    <w:rsid w:val="001C6590"/>
    <w:rsid w:val="001C66BC"/>
    <w:rsid w:val="001C7814"/>
    <w:rsid w:val="001C7EBB"/>
    <w:rsid w:val="001D0E2D"/>
    <w:rsid w:val="001D132A"/>
    <w:rsid w:val="001D1762"/>
    <w:rsid w:val="001D5D11"/>
    <w:rsid w:val="001D5FF4"/>
    <w:rsid w:val="001D7A10"/>
    <w:rsid w:val="001E0D9C"/>
    <w:rsid w:val="001E1B23"/>
    <w:rsid w:val="001E1FD0"/>
    <w:rsid w:val="001E2474"/>
    <w:rsid w:val="001E2505"/>
    <w:rsid w:val="001E35B6"/>
    <w:rsid w:val="001E5416"/>
    <w:rsid w:val="001E5CE8"/>
    <w:rsid w:val="001E60BA"/>
    <w:rsid w:val="001E6C3F"/>
    <w:rsid w:val="001F014F"/>
    <w:rsid w:val="001F1596"/>
    <w:rsid w:val="001F1A45"/>
    <w:rsid w:val="001F3EA9"/>
    <w:rsid w:val="001F4F5B"/>
    <w:rsid w:val="001F5C2D"/>
    <w:rsid w:val="001F5E29"/>
    <w:rsid w:val="001F5FCA"/>
    <w:rsid w:val="001F7DAF"/>
    <w:rsid w:val="002003C1"/>
    <w:rsid w:val="00200AED"/>
    <w:rsid w:val="00200EA1"/>
    <w:rsid w:val="0020344F"/>
    <w:rsid w:val="00203527"/>
    <w:rsid w:val="00204C3F"/>
    <w:rsid w:val="002053F3"/>
    <w:rsid w:val="00205D92"/>
    <w:rsid w:val="00206C9C"/>
    <w:rsid w:val="002108A0"/>
    <w:rsid w:val="00210C30"/>
    <w:rsid w:val="00214406"/>
    <w:rsid w:val="0021546B"/>
    <w:rsid w:val="00216F29"/>
    <w:rsid w:val="00217EBE"/>
    <w:rsid w:val="0022375A"/>
    <w:rsid w:val="00224424"/>
    <w:rsid w:val="002245DF"/>
    <w:rsid w:val="00224853"/>
    <w:rsid w:val="00224AC9"/>
    <w:rsid w:val="002251A4"/>
    <w:rsid w:val="00225F1E"/>
    <w:rsid w:val="00227E59"/>
    <w:rsid w:val="00231D14"/>
    <w:rsid w:val="00235187"/>
    <w:rsid w:val="00236B75"/>
    <w:rsid w:val="002373E7"/>
    <w:rsid w:val="00240821"/>
    <w:rsid w:val="002414D7"/>
    <w:rsid w:val="00241D12"/>
    <w:rsid w:val="00244982"/>
    <w:rsid w:val="002450B0"/>
    <w:rsid w:val="002462EA"/>
    <w:rsid w:val="00246F7A"/>
    <w:rsid w:val="002475D2"/>
    <w:rsid w:val="002476F8"/>
    <w:rsid w:val="002502C6"/>
    <w:rsid w:val="00253C6C"/>
    <w:rsid w:val="00253CB8"/>
    <w:rsid w:val="0025534B"/>
    <w:rsid w:val="0025646A"/>
    <w:rsid w:val="00260069"/>
    <w:rsid w:val="00263FF7"/>
    <w:rsid w:val="00265DAE"/>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71FB"/>
    <w:rsid w:val="00290E6F"/>
    <w:rsid w:val="002910ED"/>
    <w:rsid w:val="002920B5"/>
    <w:rsid w:val="002920EB"/>
    <w:rsid w:val="00293313"/>
    <w:rsid w:val="0029346F"/>
    <w:rsid w:val="00296D11"/>
    <w:rsid w:val="002A0A0C"/>
    <w:rsid w:val="002A1305"/>
    <w:rsid w:val="002A1806"/>
    <w:rsid w:val="002A1A7D"/>
    <w:rsid w:val="002A1F76"/>
    <w:rsid w:val="002A21F4"/>
    <w:rsid w:val="002A54BA"/>
    <w:rsid w:val="002A62A7"/>
    <w:rsid w:val="002A6797"/>
    <w:rsid w:val="002B4B30"/>
    <w:rsid w:val="002B4BB4"/>
    <w:rsid w:val="002C0680"/>
    <w:rsid w:val="002C06B8"/>
    <w:rsid w:val="002C0D5E"/>
    <w:rsid w:val="002C2597"/>
    <w:rsid w:val="002C2B20"/>
    <w:rsid w:val="002C55AD"/>
    <w:rsid w:val="002C6032"/>
    <w:rsid w:val="002C68A2"/>
    <w:rsid w:val="002C7449"/>
    <w:rsid w:val="002D0B22"/>
    <w:rsid w:val="002D4770"/>
    <w:rsid w:val="002D4F4E"/>
    <w:rsid w:val="002D6D53"/>
    <w:rsid w:val="002D7AF6"/>
    <w:rsid w:val="002E0AF9"/>
    <w:rsid w:val="002E321E"/>
    <w:rsid w:val="002E554A"/>
    <w:rsid w:val="002E78E5"/>
    <w:rsid w:val="002F18C2"/>
    <w:rsid w:val="002F269C"/>
    <w:rsid w:val="002F2915"/>
    <w:rsid w:val="002F4A92"/>
    <w:rsid w:val="002F545D"/>
    <w:rsid w:val="002F645E"/>
    <w:rsid w:val="002F6F68"/>
    <w:rsid w:val="002F6F89"/>
    <w:rsid w:val="002F7244"/>
    <w:rsid w:val="00300673"/>
    <w:rsid w:val="0030276F"/>
    <w:rsid w:val="00303CD9"/>
    <w:rsid w:val="003053BA"/>
    <w:rsid w:val="003072F0"/>
    <w:rsid w:val="00307A07"/>
    <w:rsid w:val="0031051C"/>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1230"/>
    <w:rsid w:val="003229F8"/>
    <w:rsid w:val="00323E9C"/>
    <w:rsid w:val="0032477D"/>
    <w:rsid w:val="0032540A"/>
    <w:rsid w:val="003270DD"/>
    <w:rsid w:val="00330DA0"/>
    <w:rsid w:val="0033175D"/>
    <w:rsid w:val="00332C75"/>
    <w:rsid w:val="00335AE8"/>
    <w:rsid w:val="00335C30"/>
    <w:rsid w:val="00336BA5"/>
    <w:rsid w:val="0033773C"/>
    <w:rsid w:val="00340525"/>
    <w:rsid w:val="003428E9"/>
    <w:rsid w:val="003429C9"/>
    <w:rsid w:val="00344F8C"/>
    <w:rsid w:val="00345438"/>
    <w:rsid w:val="00350889"/>
    <w:rsid w:val="003518BB"/>
    <w:rsid w:val="00351AC9"/>
    <w:rsid w:val="00351EDD"/>
    <w:rsid w:val="003527FC"/>
    <w:rsid w:val="00353178"/>
    <w:rsid w:val="0035554B"/>
    <w:rsid w:val="00355659"/>
    <w:rsid w:val="00355ACD"/>
    <w:rsid w:val="00355F2D"/>
    <w:rsid w:val="00356DDB"/>
    <w:rsid w:val="003576E7"/>
    <w:rsid w:val="00360BAA"/>
    <w:rsid w:val="0036274B"/>
    <w:rsid w:val="00364555"/>
    <w:rsid w:val="00364ABD"/>
    <w:rsid w:val="00364E88"/>
    <w:rsid w:val="003702EC"/>
    <w:rsid w:val="003710A7"/>
    <w:rsid w:val="00372567"/>
    <w:rsid w:val="0037304B"/>
    <w:rsid w:val="00374C6B"/>
    <w:rsid w:val="00375173"/>
    <w:rsid w:val="00375FB6"/>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310"/>
    <w:rsid w:val="003A0B2C"/>
    <w:rsid w:val="003A0C55"/>
    <w:rsid w:val="003A30CB"/>
    <w:rsid w:val="003A7C43"/>
    <w:rsid w:val="003A7C4C"/>
    <w:rsid w:val="003A7F5D"/>
    <w:rsid w:val="003B0946"/>
    <w:rsid w:val="003B1B33"/>
    <w:rsid w:val="003B20E5"/>
    <w:rsid w:val="003B2294"/>
    <w:rsid w:val="003B32BB"/>
    <w:rsid w:val="003B3A84"/>
    <w:rsid w:val="003B3D7E"/>
    <w:rsid w:val="003B42A2"/>
    <w:rsid w:val="003B45F0"/>
    <w:rsid w:val="003B6B1D"/>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E1144"/>
    <w:rsid w:val="003E1147"/>
    <w:rsid w:val="003E1DB9"/>
    <w:rsid w:val="003E2DB2"/>
    <w:rsid w:val="003E3603"/>
    <w:rsid w:val="003E3C56"/>
    <w:rsid w:val="003E5EFE"/>
    <w:rsid w:val="003E789E"/>
    <w:rsid w:val="003F20F8"/>
    <w:rsid w:val="003F284C"/>
    <w:rsid w:val="003F2B30"/>
    <w:rsid w:val="003F3C6D"/>
    <w:rsid w:val="003F7092"/>
    <w:rsid w:val="0040209B"/>
    <w:rsid w:val="00402163"/>
    <w:rsid w:val="004026C1"/>
    <w:rsid w:val="00402946"/>
    <w:rsid w:val="00406BC0"/>
    <w:rsid w:val="0040720C"/>
    <w:rsid w:val="004076DF"/>
    <w:rsid w:val="00407BB0"/>
    <w:rsid w:val="00410619"/>
    <w:rsid w:val="004112AB"/>
    <w:rsid w:val="004112B6"/>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594E"/>
    <w:rsid w:val="004271DB"/>
    <w:rsid w:val="0043176B"/>
    <w:rsid w:val="00431851"/>
    <w:rsid w:val="00431B9B"/>
    <w:rsid w:val="004330E2"/>
    <w:rsid w:val="004333F9"/>
    <w:rsid w:val="00436AB0"/>
    <w:rsid w:val="00436E57"/>
    <w:rsid w:val="00437637"/>
    <w:rsid w:val="00440738"/>
    <w:rsid w:val="0044108B"/>
    <w:rsid w:val="00441573"/>
    <w:rsid w:val="00442F03"/>
    <w:rsid w:val="00444128"/>
    <w:rsid w:val="00444C12"/>
    <w:rsid w:val="00445F1F"/>
    <w:rsid w:val="00447331"/>
    <w:rsid w:val="00450D5D"/>
    <w:rsid w:val="00453615"/>
    <w:rsid w:val="004541CB"/>
    <w:rsid w:val="00454656"/>
    <w:rsid w:val="004565D3"/>
    <w:rsid w:val="00457F39"/>
    <w:rsid w:val="0046069B"/>
    <w:rsid w:val="004610A3"/>
    <w:rsid w:val="0046193C"/>
    <w:rsid w:val="00462484"/>
    <w:rsid w:val="004643F6"/>
    <w:rsid w:val="00464F2B"/>
    <w:rsid w:val="00465BEC"/>
    <w:rsid w:val="00466D27"/>
    <w:rsid w:val="00467B75"/>
    <w:rsid w:val="00467C57"/>
    <w:rsid w:val="00470DC3"/>
    <w:rsid w:val="0047131C"/>
    <w:rsid w:val="0047512F"/>
    <w:rsid w:val="004760B4"/>
    <w:rsid w:val="004848BC"/>
    <w:rsid w:val="00485442"/>
    <w:rsid w:val="00485F34"/>
    <w:rsid w:val="0049161F"/>
    <w:rsid w:val="0049228D"/>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0E74"/>
    <w:rsid w:val="004C1902"/>
    <w:rsid w:val="004C48D2"/>
    <w:rsid w:val="004C5B1C"/>
    <w:rsid w:val="004C5DB2"/>
    <w:rsid w:val="004C66EA"/>
    <w:rsid w:val="004D0015"/>
    <w:rsid w:val="004D0A76"/>
    <w:rsid w:val="004D188B"/>
    <w:rsid w:val="004D19E1"/>
    <w:rsid w:val="004D1F00"/>
    <w:rsid w:val="004D41C0"/>
    <w:rsid w:val="004D6159"/>
    <w:rsid w:val="004D7469"/>
    <w:rsid w:val="004E173E"/>
    <w:rsid w:val="004E1E71"/>
    <w:rsid w:val="004E422C"/>
    <w:rsid w:val="004E5CE6"/>
    <w:rsid w:val="004F1642"/>
    <w:rsid w:val="004F1A9A"/>
    <w:rsid w:val="004F1F67"/>
    <w:rsid w:val="004F2E51"/>
    <w:rsid w:val="004F337A"/>
    <w:rsid w:val="004F54F3"/>
    <w:rsid w:val="004F55D8"/>
    <w:rsid w:val="004F6D4A"/>
    <w:rsid w:val="004F7145"/>
    <w:rsid w:val="004F7CFB"/>
    <w:rsid w:val="00500A0A"/>
    <w:rsid w:val="0050154F"/>
    <w:rsid w:val="00501AB9"/>
    <w:rsid w:val="00502BA1"/>
    <w:rsid w:val="00504846"/>
    <w:rsid w:val="005050E9"/>
    <w:rsid w:val="00506683"/>
    <w:rsid w:val="00506CBB"/>
    <w:rsid w:val="005078E5"/>
    <w:rsid w:val="0051049C"/>
    <w:rsid w:val="005112A4"/>
    <w:rsid w:val="00515358"/>
    <w:rsid w:val="00515F7D"/>
    <w:rsid w:val="00516228"/>
    <w:rsid w:val="00517B73"/>
    <w:rsid w:val="00520DA5"/>
    <w:rsid w:val="00520F3F"/>
    <w:rsid w:val="005223AE"/>
    <w:rsid w:val="005229EC"/>
    <w:rsid w:val="00522A32"/>
    <w:rsid w:val="00523383"/>
    <w:rsid w:val="00523B93"/>
    <w:rsid w:val="00523DD8"/>
    <w:rsid w:val="00523E53"/>
    <w:rsid w:val="00526640"/>
    <w:rsid w:val="0052786E"/>
    <w:rsid w:val="005319A4"/>
    <w:rsid w:val="00533498"/>
    <w:rsid w:val="005356E9"/>
    <w:rsid w:val="00535FCC"/>
    <w:rsid w:val="005361C0"/>
    <w:rsid w:val="0053792D"/>
    <w:rsid w:val="00541D62"/>
    <w:rsid w:val="00542025"/>
    <w:rsid w:val="005426EF"/>
    <w:rsid w:val="00544924"/>
    <w:rsid w:val="00545A9F"/>
    <w:rsid w:val="00546187"/>
    <w:rsid w:val="00546E2B"/>
    <w:rsid w:val="00547004"/>
    <w:rsid w:val="00550755"/>
    <w:rsid w:val="00550D16"/>
    <w:rsid w:val="00551B8C"/>
    <w:rsid w:val="00551E60"/>
    <w:rsid w:val="00551F13"/>
    <w:rsid w:val="00552945"/>
    <w:rsid w:val="00552B4C"/>
    <w:rsid w:val="00552E6D"/>
    <w:rsid w:val="00554A57"/>
    <w:rsid w:val="00554C6B"/>
    <w:rsid w:val="00554F26"/>
    <w:rsid w:val="00556448"/>
    <w:rsid w:val="00560E41"/>
    <w:rsid w:val="00560FBA"/>
    <w:rsid w:val="00561300"/>
    <w:rsid w:val="00561ECF"/>
    <w:rsid w:val="0056393E"/>
    <w:rsid w:val="00564A23"/>
    <w:rsid w:val="00565515"/>
    <w:rsid w:val="00565888"/>
    <w:rsid w:val="0057104C"/>
    <w:rsid w:val="00571222"/>
    <w:rsid w:val="0057134C"/>
    <w:rsid w:val="00571F1B"/>
    <w:rsid w:val="00572817"/>
    <w:rsid w:val="00572BF6"/>
    <w:rsid w:val="00573E57"/>
    <w:rsid w:val="00574EB3"/>
    <w:rsid w:val="00574FA6"/>
    <w:rsid w:val="00575559"/>
    <w:rsid w:val="005819FD"/>
    <w:rsid w:val="00581FBE"/>
    <w:rsid w:val="005820ED"/>
    <w:rsid w:val="00582CA2"/>
    <w:rsid w:val="0058673D"/>
    <w:rsid w:val="005915E2"/>
    <w:rsid w:val="00593E50"/>
    <w:rsid w:val="00593FE9"/>
    <w:rsid w:val="00595C82"/>
    <w:rsid w:val="00595E5D"/>
    <w:rsid w:val="005960A5"/>
    <w:rsid w:val="00597BA1"/>
    <w:rsid w:val="005A0112"/>
    <w:rsid w:val="005A129B"/>
    <w:rsid w:val="005A210A"/>
    <w:rsid w:val="005A235C"/>
    <w:rsid w:val="005A3E0E"/>
    <w:rsid w:val="005A5A94"/>
    <w:rsid w:val="005A6C88"/>
    <w:rsid w:val="005A7036"/>
    <w:rsid w:val="005A749F"/>
    <w:rsid w:val="005A7E9C"/>
    <w:rsid w:val="005B1EB9"/>
    <w:rsid w:val="005B36BE"/>
    <w:rsid w:val="005B3FB4"/>
    <w:rsid w:val="005B730C"/>
    <w:rsid w:val="005C0339"/>
    <w:rsid w:val="005C0B1D"/>
    <w:rsid w:val="005C14D7"/>
    <w:rsid w:val="005C1C7D"/>
    <w:rsid w:val="005C1E24"/>
    <w:rsid w:val="005C22F9"/>
    <w:rsid w:val="005C36EC"/>
    <w:rsid w:val="005C3BB0"/>
    <w:rsid w:val="005C3CBB"/>
    <w:rsid w:val="005C5ACD"/>
    <w:rsid w:val="005D1817"/>
    <w:rsid w:val="005D1954"/>
    <w:rsid w:val="005E09BF"/>
    <w:rsid w:val="005E27DA"/>
    <w:rsid w:val="005E46A7"/>
    <w:rsid w:val="005E4A39"/>
    <w:rsid w:val="005E5011"/>
    <w:rsid w:val="005E5125"/>
    <w:rsid w:val="005F02BE"/>
    <w:rsid w:val="005F26E9"/>
    <w:rsid w:val="005F4FB8"/>
    <w:rsid w:val="005F5FF9"/>
    <w:rsid w:val="005F6069"/>
    <w:rsid w:val="005F6686"/>
    <w:rsid w:val="005F6CB3"/>
    <w:rsid w:val="005F6CCF"/>
    <w:rsid w:val="005F79FC"/>
    <w:rsid w:val="00603EB3"/>
    <w:rsid w:val="00603FF8"/>
    <w:rsid w:val="00604D8F"/>
    <w:rsid w:val="00607427"/>
    <w:rsid w:val="00607DF6"/>
    <w:rsid w:val="00612798"/>
    <w:rsid w:val="00612E98"/>
    <w:rsid w:val="0061642C"/>
    <w:rsid w:val="00620EB4"/>
    <w:rsid w:val="0062146C"/>
    <w:rsid w:val="00621BB6"/>
    <w:rsid w:val="00622AD5"/>
    <w:rsid w:val="00623952"/>
    <w:rsid w:val="00624CC8"/>
    <w:rsid w:val="00625362"/>
    <w:rsid w:val="00625BA4"/>
    <w:rsid w:val="00626BD6"/>
    <w:rsid w:val="0063022F"/>
    <w:rsid w:val="00634AE0"/>
    <w:rsid w:val="00634ECF"/>
    <w:rsid w:val="0063563D"/>
    <w:rsid w:val="006369DD"/>
    <w:rsid w:val="006373C2"/>
    <w:rsid w:val="0063757B"/>
    <w:rsid w:val="006378F8"/>
    <w:rsid w:val="0064101A"/>
    <w:rsid w:val="006410F5"/>
    <w:rsid w:val="0064305E"/>
    <w:rsid w:val="00644AC3"/>
    <w:rsid w:val="006468B2"/>
    <w:rsid w:val="0064781F"/>
    <w:rsid w:val="006512ED"/>
    <w:rsid w:val="00654EE3"/>
    <w:rsid w:val="00655F4E"/>
    <w:rsid w:val="006567AC"/>
    <w:rsid w:val="0065695B"/>
    <w:rsid w:val="00656966"/>
    <w:rsid w:val="00657CC6"/>
    <w:rsid w:val="0066131E"/>
    <w:rsid w:val="00664092"/>
    <w:rsid w:val="00664B5A"/>
    <w:rsid w:val="0066568F"/>
    <w:rsid w:val="00665B4D"/>
    <w:rsid w:val="00667A7B"/>
    <w:rsid w:val="006709A9"/>
    <w:rsid w:val="00672606"/>
    <w:rsid w:val="00672666"/>
    <w:rsid w:val="00672867"/>
    <w:rsid w:val="00672D57"/>
    <w:rsid w:val="0067374C"/>
    <w:rsid w:val="006743CF"/>
    <w:rsid w:val="00677577"/>
    <w:rsid w:val="00684DF8"/>
    <w:rsid w:val="0068552F"/>
    <w:rsid w:val="0068674A"/>
    <w:rsid w:val="00686939"/>
    <w:rsid w:val="00686A1E"/>
    <w:rsid w:val="0068719A"/>
    <w:rsid w:val="0069442A"/>
    <w:rsid w:val="00694E9F"/>
    <w:rsid w:val="00695FA4"/>
    <w:rsid w:val="006963B3"/>
    <w:rsid w:val="006A0987"/>
    <w:rsid w:val="006A154D"/>
    <w:rsid w:val="006A1EBF"/>
    <w:rsid w:val="006A39F9"/>
    <w:rsid w:val="006A4299"/>
    <w:rsid w:val="006A457A"/>
    <w:rsid w:val="006A5001"/>
    <w:rsid w:val="006A56E7"/>
    <w:rsid w:val="006A60D9"/>
    <w:rsid w:val="006A6313"/>
    <w:rsid w:val="006B3C81"/>
    <w:rsid w:val="006B3FAA"/>
    <w:rsid w:val="006B49ED"/>
    <w:rsid w:val="006B536E"/>
    <w:rsid w:val="006B5383"/>
    <w:rsid w:val="006B53AB"/>
    <w:rsid w:val="006B711E"/>
    <w:rsid w:val="006B7578"/>
    <w:rsid w:val="006C01B0"/>
    <w:rsid w:val="006C20D9"/>
    <w:rsid w:val="006C2678"/>
    <w:rsid w:val="006C3102"/>
    <w:rsid w:val="006C326D"/>
    <w:rsid w:val="006C4410"/>
    <w:rsid w:val="006C4709"/>
    <w:rsid w:val="006C5549"/>
    <w:rsid w:val="006C5A72"/>
    <w:rsid w:val="006C5C63"/>
    <w:rsid w:val="006D2B69"/>
    <w:rsid w:val="006D4DC5"/>
    <w:rsid w:val="006D7F20"/>
    <w:rsid w:val="006E06A6"/>
    <w:rsid w:val="006E0B62"/>
    <w:rsid w:val="006E3A04"/>
    <w:rsid w:val="006E41BE"/>
    <w:rsid w:val="006E51A6"/>
    <w:rsid w:val="006E521B"/>
    <w:rsid w:val="006E7002"/>
    <w:rsid w:val="006E79D5"/>
    <w:rsid w:val="006F0112"/>
    <w:rsid w:val="006F03CE"/>
    <w:rsid w:val="006F0AF3"/>
    <w:rsid w:val="006F21F8"/>
    <w:rsid w:val="006F28DD"/>
    <w:rsid w:val="006F4001"/>
    <w:rsid w:val="006F4408"/>
    <w:rsid w:val="006F5E4A"/>
    <w:rsid w:val="006F656D"/>
    <w:rsid w:val="006F71F7"/>
    <w:rsid w:val="006F7B5B"/>
    <w:rsid w:val="00705184"/>
    <w:rsid w:val="0070523D"/>
    <w:rsid w:val="00706026"/>
    <w:rsid w:val="0070680C"/>
    <w:rsid w:val="007074BF"/>
    <w:rsid w:val="00711AC2"/>
    <w:rsid w:val="00713BD4"/>
    <w:rsid w:val="00715EA7"/>
    <w:rsid w:val="00716E6A"/>
    <w:rsid w:val="00717844"/>
    <w:rsid w:val="007203A3"/>
    <w:rsid w:val="00723928"/>
    <w:rsid w:val="00725246"/>
    <w:rsid w:val="00725753"/>
    <w:rsid w:val="00727696"/>
    <w:rsid w:val="007276F9"/>
    <w:rsid w:val="0073024F"/>
    <w:rsid w:val="00731983"/>
    <w:rsid w:val="007322B5"/>
    <w:rsid w:val="00733F6B"/>
    <w:rsid w:val="00734477"/>
    <w:rsid w:val="007367F3"/>
    <w:rsid w:val="00736890"/>
    <w:rsid w:val="0073765C"/>
    <w:rsid w:val="00740C43"/>
    <w:rsid w:val="00740CC5"/>
    <w:rsid w:val="00743260"/>
    <w:rsid w:val="00745819"/>
    <w:rsid w:val="00745BF5"/>
    <w:rsid w:val="00746D9B"/>
    <w:rsid w:val="007474D9"/>
    <w:rsid w:val="00747F2A"/>
    <w:rsid w:val="00750359"/>
    <w:rsid w:val="00754307"/>
    <w:rsid w:val="007566AC"/>
    <w:rsid w:val="00761722"/>
    <w:rsid w:val="00764169"/>
    <w:rsid w:val="007651B0"/>
    <w:rsid w:val="007679FD"/>
    <w:rsid w:val="00767AA2"/>
    <w:rsid w:val="007714E9"/>
    <w:rsid w:val="007718D5"/>
    <w:rsid w:val="0077319D"/>
    <w:rsid w:val="007732AF"/>
    <w:rsid w:val="00773F78"/>
    <w:rsid w:val="0077495D"/>
    <w:rsid w:val="00776545"/>
    <w:rsid w:val="0077743F"/>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B642C"/>
    <w:rsid w:val="007B7D30"/>
    <w:rsid w:val="007C1B63"/>
    <w:rsid w:val="007C1F3D"/>
    <w:rsid w:val="007C3AA8"/>
    <w:rsid w:val="007C48D7"/>
    <w:rsid w:val="007C577C"/>
    <w:rsid w:val="007C5C0C"/>
    <w:rsid w:val="007C6811"/>
    <w:rsid w:val="007C6986"/>
    <w:rsid w:val="007C6A68"/>
    <w:rsid w:val="007D03D7"/>
    <w:rsid w:val="007D087F"/>
    <w:rsid w:val="007D0943"/>
    <w:rsid w:val="007D0AD5"/>
    <w:rsid w:val="007D0CF0"/>
    <w:rsid w:val="007D12D3"/>
    <w:rsid w:val="007D4EC6"/>
    <w:rsid w:val="007D4FB4"/>
    <w:rsid w:val="007D5D19"/>
    <w:rsid w:val="007D6ED5"/>
    <w:rsid w:val="007D6F39"/>
    <w:rsid w:val="007E1679"/>
    <w:rsid w:val="007E233E"/>
    <w:rsid w:val="007E3C3B"/>
    <w:rsid w:val="007E710D"/>
    <w:rsid w:val="007F0F0C"/>
    <w:rsid w:val="007F2AFB"/>
    <w:rsid w:val="007F666B"/>
    <w:rsid w:val="007F6F64"/>
    <w:rsid w:val="00802C4F"/>
    <w:rsid w:val="00804F2C"/>
    <w:rsid w:val="00805CE8"/>
    <w:rsid w:val="00805DAF"/>
    <w:rsid w:val="00807572"/>
    <w:rsid w:val="0081189D"/>
    <w:rsid w:val="00813C52"/>
    <w:rsid w:val="00814F65"/>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2C66"/>
    <w:rsid w:val="00853C01"/>
    <w:rsid w:val="008543F5"/>
    <w:rsid w:val="0085491F"/>
    <w:rsid w:val="008552E5"/>
    <w:rsid w:val="008557D3"/>
    <w:rsid w:val="00856F2A"/>
    <w:rsid w:val="008572AC"/>
    <w:rsid w:val="008601A0"/>
    <w:rsid w:val="008607BB"/>
    <w:rsid w:val="00860B47"/>
    <w:rsid w:val="00860B5D"/>
    <w:rsid w:val="00861788"/>
    <w:rsid w:val="00862543"/>
    <w:rsid w:val="00862593"/>
    <w:rsid w:val="00862942"/>
    <w:rsid w:val="00862DFD"/>
    <w:rsid w:val="00863D2B"/>
    <w:rsid w:val="00863F05"/>
    <w:rsid w:val="0086415A"/>
    <w:rsid w:val="00864187"/>
    <w:rsid w:val="00866F1E"/>
    <w:rsid w:val="00867E0F"/>
    <w:rsid w:val="008710D8"/>
    <w:rsid w:val="00871B9D"/>
    <w:rsid w:val="00871CC8"/>
    <w:rsid w:val="00871E92"/>
    <w:rsid w:val="00872759"/>
    <w:rsid w:val="00872BAA"/>
    <w:rsid w:val="00873062"/>
    <w:rsid w:val="00874245"/>
    <w:rsid w:val="008755E1"/>
    <w:rsid w:val="00877538"/>
    <w:rsid w:val="00880E7D"/>
    <w:rsid w:val="00880FEE"/>
    <w:rsid w:val="00882512"/>
    <w:rsid w:val="00882F64"/>
    <w:rsid w:val="0088352B"/>
    <w:rsid w:val="008855AB"/>
    <w:rsid w:val="00885C28"/>
    <w:rsid w:val="00887594"/>
    <w:rsid w:val="0089046A"/>
    <w:rsid w:val="00890F2B"/>
    <w:rsid w:val="0089286A"/>
    <w:rsid w:val="00892E9B"/>
    <w:rsid w:val="008940C5"/>
    <w:rsid w:val="008944AE"/>
    <w:rsid w:val="008A0676"/>
    <w:rsid w:val="008A1B8E"/>
    <w:rsid w:val="008A29F4"/>
    <w:rsid w:val="008A37A9"/>
    <w:rsid w:val="008A4A39"/>
    <w:rsid w:val="008A5C59"/>
    <w:rsid w:val="008A5C6B"/>
    <w:rsid w:val="008A6C4D"/>
    <w:rsid w:val="008A78A3"/>
    <w:rsid w:val="008B131C"/>
    <w:rsid w:val="008B1B85"/>
    <w:rsid w:val="008B273A"/>
    <w:rsid w:val="008B3185"/>
    <w:rsid w:val="008B6162"/>
    <w:rsid w:val="008C071A"/>
    <w:rsid w:val="008C7EAC"/>
    <w:rsid w:val="008D09F9"/>
    <w:rsid w:val="008D1507"/>
    <w:rsid w:val="008D1D8E"/>
    <w:rsid w:val="008D35D8"/>
    <w:rsid w:val="008D49E1"/>
    <w:rsid w:val="008D5E88"/>
    <w:rsid w:val="008D6927"/>
    <w:rsid w:val="008D6D4E"/>
    <w:rsid w:val="008D70F5"/>
    <w:rsid w:val="008D7912"/>
    <w:rsid w:val="008E018D"/>
    <w:rsid w:val="008E04F5"/>
    <w:rsid w:val="008E0BAF"/>
    <w:rsid w:val="008E0CFF"/>
    <w:rsid w:val="008E1F24"/>
    <w:rsid w:val="008E2958"/>
    <w:rsid w:val="008E2BA2"/>
    <w:rsid w:val="008E3BEF"/>
    <w:rsid w:val="008E41B1"/>
    <w:rsid w:val="008E71DA"/>
    <w:rsid w:val="008F00F2"/>
    <w:rsid w:val="008F0DEA"/>
    <w:rsid w:val="008F277D"/>
    <w:rsid w:val="008F2BED"/>
    <w:rsid w:val="008F31AA"/>
    <w:rsid w:val="008F4121"/>
    <w:rsid w:val="008F5A64"/>
    <w:rsid w:val="008F5D33"/>
    <w:rsid w:val="008F6823"/>
    <w:rsid w:val="008F6B90"/>
    <w:rsid w:val="008F6F9B"/>
    <w:rsid w:val="008F75BC"/>
    <w:rsid w:val="00902CE7"/>
    <w:rsid w:val="00903CF9"/>
    <w:rsid w:val="009040A0"/>
    <w:rsid w:val="0090552F"/>
    <w:rsid w:val="009065DE"/>
    <w:rsid w:val="00907395"/>
    <w:rsid w:val="00907E8E"/>
    <w:rsid w:val="00907F8B"/>
    <w:rsid w:val="00907FD2"/>
    <w:rsid w:val="00910925"/>
    <w:rsid w:val="00910C00"/>
    <w:rsid w:val="00910F0D"/>
    <w:rsid w:val="00911AA6"/>
    <w:rsid w:val="009136DF"/>
    <w:rsid w:val="0091374C"/>
    <w:rsid w:val="009149C2"/>
    <w:rsid w:val="009159D8"/>
    <w:rsid w:val="00920771"/>
    <w:rsid w:val="00923E25"/>
    <w:rsid w:val="0092462B"/>
    <w:rsid w:val="00924D8D"/>
    <w:rsid w:val="00926C8E"/>
    <w:rsid w:val="00927062"/>
    <w:rsid w:val="00927233"/>
    <w:rsid w:val="009306D4"/>
    <w:rsid w:val="0093084D"/>
    <w:rsid w:val="00931CD6"/>
    <w:rsid w:val="009327FD"/>
    <w:rsid w:val="00932F86"/>
    <w:rsid w:val="00933EB1"/>
    <w:rsid w:val="00934114"/>
    <w:rsid w:val="00934224"/>
    <w:rsid w:val="009357D4"/>
    <w:rsid w:val="00935D9C"/>
    <w:rsid w:val="0093676B"/>
    <w:rsid w:val="00937A9E"/>
    <w:rsid w:val="009406A0"/>
    <w:rsid w:val="00942020"/>
    <w:rsid w:val="00943C4C"/>
    <w:rsid w:val="00944926"/>
    <w:rsid w:val="00944CCD"/>
    <w:rsid w:val="009471ED"/>
    <w:rsid w:val="00950100"/>
    <w:rsid w:val="00950E1F"/>
    <w:rsid w:val="00953392"/>
    <w:rsid w:val="00953F72"/>
    <w:rsid w:val="00954046"/>
    <w:rsid w:val="00954332"/>
    <w:rsid w:val="009548FE"/>
    <w:rsid w:val="00954E64"/>
    <w:rsid w:val="00961068"/>
    <w:rsid w:val="00961ABF"/>
    <w:rsid w:val="009621B8"/>
    <w:rsid w:val="00962A6E"/>
    <w:rsid w:val="00963D07"/>
    <w:rsid w:val="00965C2E"/>
    <w:rsid w:val="00966058"/>
    <w:rsid w:val="00967CD1"/>
    <w:rsid w:val="00970B7C"/>
    <w:rsid w:val="00972511"/>
    <w:rsid w:val="00973CAD"/>
    <w:rsid w:val="0097417B"/>
    <w:rsid w:val="00975B1D"/>
    <w:rsid w:val="00975EBC"/>
    <w:rsid w:val="00977A15"/>
    <w:rsid w:val="00983072"/>
    <w:rsid w:val="009835BC"/>
    <w:rsid w:val="00984926"/>
    <w:rsid w:val="00984A23"/>
    <w:rsid w:val="00984C67"/>
    <w:rsid w:val="00985E96"/>
    <w:rsid w:val="0098646D"/>
    <w:rsid w:val="00992217"/>
    <w:rsid w:val="009928CB"/>
    <w:rsid w:val="009950BE"/>
    <w:rsid w:val="009953B3"/>
    <w:rsid w:val="009A0A7C"/>
    <w:rsid w:val="009A134E"/>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B73"/>
    <w:rsid w:val="009C29C9"/>
    <w:rsid w:val="009C3154"/>
    <w:rsid w:val="009C36A0"/>
    <w:rsid w:val="009C45DF"/>
    <w:rsid w:val="009C5368"/>
    <w:rsid w:val="009C6FF4"/>
    <w:rsid w:val="009D2C05"/>
    <w:rsid w:val="009D3B47"/>
    <w:rsid w:val="009D473E"/>
    <w:rsid w:val="009D5BD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57C3"/>
    <w:rsid w:val="009F62DE"/>
    <w:rsid w:val="009F6D5B"/>
    <w:rsid w:val="009F715F"/>
    <w:rsid w:val="009F787A"/>
    <w:rsid w:val="009F78E4"/>
    <w:rsid w:val="00A0129B"/>
    <w:rsid w:val="00A01E2A"/>
    <w:rsid w:val="00A03447"/>
    <w:rsid w:val="00A03AB9"/>
    <w:rsid w:val="00A03FA9"/>
    <w:rsid w:val="00A04D0B"/>
    <w:rsid w:val="00A04F95"/>
    <w:rsid w:val="00A04FE9"/>
    <w:rsid w:val="00A06BD5"/>
    <w:rsid w:val="00A06E5A"/>
    <w:rsid w:val="00A07C39"/>
    <w:rsid w:val="00A10376"/>
    <w:rsid w:val="00A10644"/>
    <w:rsid w:val="00A10CA5"/>
    <w:rsid w:val="00A11A6E"/>
    <w:rsid w:val="00A11AA3"/>
    <w:rsid w:val="00A127F6"/>
    <w:rsid w:val="00A14E54"/>
    <w:rsid w:val="00A153DC"/>
    <w:rsid w:val="00A1733A"/>
    <w:rsid w:val="00A21173"/>
    <w:rsid w:val="00A230A4"/>
    <w:rsid w:val="00A24164"/>
    <w:rsid w:val="00A257AA"/>
    <w:rsid w:val="00A25FD1"/>
    <w:rsid w:val="00A27132"/>
    <w:rsid w:val="00A3012A"/>
    <w:rsid w:val="00A30165"/>
    <w:rsid w:val="00A30EF1"/>
    <w:rsid w:val="00A315D4"/>
    <w:rsid w:val="00A3175D"/>
    <w:rsid w:val="00A31DFE"/>
    <w:rsid w:val="00A3212E"/>
    <w:rsid w:val="00A3316D"/>
    <w:rsid w:val="00A331E9"/>
    <w:rsid w:val="00A336B9"/>
    <w:rsid w:val="00A34C9F"/>
    <w:rsid w:val="00A35203"/>
    <w:rsid w:val="00A4094A"/>
    <w:rsid w:val="00A412D7"/>
    <w:rsid w:val="00A4198D"/>
    <w:rsid w:val="00A43825"/>
    <w:rsid w:val="00A43AB2"/>
    <w:rsid w:val="00A44FDF"/>
    <w:rsid w:val="00A4559B"/>
    <w:rsid w:val="00A45CC6"/>
    <w:rsid w:val="00A46184"/>
    <w:rsid w:val="00A47174"/>
    <w:rsid w:val="00A50182"/>
    <w:rsid w:val="00A53494"/>
    <w:rsid w:val="00A53D06"/>
    <w:rsid w:val="00A5411D"/>
    <w:rsid w:val="00A5449E"/>
    <w:rsid w:val="00A54F67"/>
    <w:rsid w:val="00A556C6"/>
    <w:rsid w:val="00A55B88"/>
    <w:rsid w:val="00A55BD2"/>
    <w:rsid w:val="00A563D1"/>
    <w:rsid w:val="00A5679F"/>
    <w:rsid w:val="00A57E44"/>
    <w:rsid w:val="00A604EE"/>
    <w:rsid w:val="00A6156D"/>
    <w:rsid w:val="00A61E6B"/>
    <w:rsid w:val="00A659A0"/>
    <w:rsid w:val="00A6605F"/>
    <w:rsid w:val="00A6631E"/>
    <w:rsid w:val="00A670E6"/>
    <w:rsid w:val="00A67E4E"/>
    <w:rsid w:val="00A70382"/>
    <w:rsid w:val="00A7128D"/>
    <w:rsid w:val="00A71644"/>
    <w:rsid w:val="00A72B81"/>
    <w:rsid w:val="00A74FBA"/>
    <w:rsid w:val="00A76296"/>
    <w:rsid w:val="00A76F92"/>
    <w:rsid w:val="00A76FA9"/>
    <w:rsid w:val="00A772FD"/>
    <w:rsid w:val="00A80A5B"/>
    <w:rsid w:val="00A81418"/>
    <w:rsid w:val="00A8278F"/>
    <w:rsid w:val="00A829E7"/>
    <w:rsid w:val="00A865C1"/>
    <w:rsid w:val="00A86B08"/>
    <w:rsid w:val="00A870EA"/>
    <w:rsid w:val="00A87960"/>
    <w:rsid w:val="00A92109"/>
    <w:rsid w:val="00A92B76"/>
    <w:rsid w:val="00A92C72"/>
    <w:rsid w:val="00A9315E"/>
    <w:rsid w:val="00A938F9"/>
    <w:rsid w:val="00A946C1"/>
    <w:rsid w:val="00A9563B"/>
    <w:rsid w:val="00A956F2"/>
    <w:rsid w:val="00A963B2"/>
    <w:rsid w:val="00A9726B"/>
    <w:rsid w:val="00A97ECB"/>
    <w:rsid w:val="00AA0CA1"/>
    <w:rsid w:val="00AA363F"/>
    <w:rsid w:val="00AA378C"/>
    <w:rsid w:val="00AA3B50"/>
    <w:rsid w:val="00AA402E"/>
    <w:rsid w:val="00AA49DC"/>
    <w:rsid w:val="00AA6624"/>
    <w:rsid w:val="00AB05B5"/>
    <w:rsid w:val="00AB35D4"/>
    <w:rsid w:val="00AB3B95"/>
    <w:rsid w:val="00AB41D1"/>
    <w:rsid w:val="00AB4614"/>
    <w:rsid w:val="00AB52DF"/>
    <w:rsid w:val="00AB54BA"/>
    <w:rsid w:val="00AB6848"/>
    <w:rsid w:val="00AC115A"/>
    <w:rsid w:val="00AC2569"/>
    <w:rsid w:val="00AC5707"/>
    <w:rsid w:val="00AC58CB"/>
    <w:rsid w:val="00AC607C"/>
    <w:rsid w:val="00AC66C8"/>
    <w:rsid w:val="00AD004F"/>
    <w:rsid w:val="00AD0A87"/>
    <w:rsid w:val="00AD1124"/>
    <w:rsid w:val="00AD137F"/>
    <w:rsid w:val="00AD20B4"/>
    <w:rsid w:val="00AD24C0"/>
    <w:rsid w:val="00AD4337"/>
    <w:rsid w:val="00AD5DB8"/>
    <w:rsid w:val="00AD60E9"/>
    <w:rsid w:val="00AE1091"/>
    <w:rsid w:val="00AE1A9C"/>
    <w:rsid w:val="00AE2523"/>
    <w:rsid w:val="00AE34AA"/>
    <w:rsid w:val="00AE58D1"/>
    <w:rsid w:val="00AE6E53"/>
    <w:rsid w:val="00AF155F"/>
    <w:rsid w:val="00AF1D4E"/>
    <w:rsid w:val="00AF1DA1"/>
    <w:rsid w:val="00AF2933"/>
    <w:rsid w:val="00AF4AEA"/>
    <w:rsid w:val="00AF54BD"/>
    <w:rsid w:val="00AF5E64"/>
    <w:rsid w:val="00AF6605"/>
    <w:rsid w:val="00AF66A2"/>
    <w:rsid w:val="00B000B2"/>
    <w:rsid w:val="00B01850"/>
    <w:rsid w:val="00B0296B"/>
    <w:rsid w:val="00B03400"/>
    <w:rsid w:val="00B03606"/>
    <w:rsid w:val="00B04830"/>
    <w:rsid w:val="00B06107"/>
    <w:rsid w:val="00B0665D"/>
    <w:rsid w:val="00B077AE"/>
    <w:rsid w:val="00B12863"/>
    <w:rsid w:val="00B12B34"/>
    <w:rsid w:val="00B1347F"/>
    <w:rsid w:val="00B135F9"/>
    <w:rsid w:val="00B141FD"/>
    <w:rsid w:val="00B144A1"/>
    <w:rsid w:val="00B16C50"/>
    <w:rsid w:val="00B17DE1"/>
    <w:rsid w:val="00B20E31"/>
    <w:rsid w:val="00B21281"/>
    <w:rsid w:val="00B22094"/>
    <w:rsid w:val="00B26F44"/>
    <w:rsid w:val="00B27799"/>
    <w:rsid w:val="00B27BF8"/>
    <w:rsid w:val="00B30F22"/>
    <w:rsid w:val="00B315FA"/>
    <w:rsid w:val="00B31C0E"/>
    <w:rsid w:val="00B34469"/>
    <w:rsid w:val="00B35454"/>
    <w:rsid w:val="00B37576"/>
    <w:rsid w:val="00B4357A"/>
    <w:rsid w:val="00B4733B"/>
    <w:rsid w:val="00B5110A"/>
    <w:rsid w:val="00B51186"/>
    <w:rsid w:val="00B52102"/>
    <w:rsid w:val="00B52F84"/>
    <w:rsid w:val="00B53BFA"/>
    <w:rsid w:val="00B54373"/>
    <w:rsid w:val="00B55F78"/>
    <w:rsid w:val="00B56CC9"/>
    <w:rsid w:val="00B60051"/>
    <w:rsid w:val="00B60C2F"/>
    <w:rsid w:val="00B61C87"/>
    <w:rsid w:val="00B63766"/>
    <w:rsid w:val="00B6460A"/>
    <w:rsid w:val="00B64C5B"/>
    <w:rsid w:val="00B655AF"/>
    <w:rsid w:val="00B65C75"/>
    <w:rsid w:val="00B67B0D"/>
    <w:rsid w:val="00B67B25"/>
    <w:rsid w:val="00B67BE6"/>
    <w:rsid w:val="00B67D4F"/>
    <w:rsid w:val="00B7118E"/>
    <w:rsid w:val="00B71ABE"/>
    <w:rsid w:val="00B72063"/>
    <w:rsid w:val="00B72FA8"/>
    <w:rsid w:val="00B730A8"/>
    <w:rsid w:val="00B733CF"/>
    <w:rsid w:val="00B737EA"/>
    <w:rsid w:val="00B73C61"/>
    <w:rsid w:val="00B7429D"/>
    <w:rsid w:val="00B750AE"/>
    <w:rsid w:val="00B75A52"/>
    <w:rsid w:val="00B80A8F"/>
    <w:rsid w:val="00B81E10"/>
    <w:rsid w:val="00B822BB"/>
    <w:rsid w:val="00B82863"/>
    <w:rsid w:val="00B82D3F"/>
    <w:rsid w:val="00B831FE"/>
    <w:rsid w:val="00B84B43"/>
    <w:rsid w:val="00B85F9B"/>
    <w:rsid w:val="00B87146"/>
    <w:rsid w:val="00B93DB0"/>
    <w:rsid w:val="00B93F1C"/>
    <w:rsid w:val="00B94A97"/>
    <w:rsid w:val="00B954BE"/>
    <w:rsid w:val="00B97EA5"/>
    <w:rsid w:val="00BA103C"/>
    <w:rsid w:val="00BA180E"/>
    <w:rsid w:val="00BA1D75"/>
    <w:rsid w:val="00BA27B7"/>
    <w:rsid w:val="00BA2968"/>
    <w:rsid w:val="00BA41DF"/>
    <w:rsid w:val="00BA4CB5"/>
    <w:rsid w:val="00BA5D9B"/>
    <w:rsid w:val="00BB2EA1"/>
    <w:rsid w:val="00BB3BC5"/>
    <w:rsid w:val="00BB3FE2"/>
    <w:rsid w:val="00BB40A1"/>
    <w:rsid w:val="00BB56BF"/>
    <w:rsid w:val="00BB5AE5"/>
    <w:rsid w:val="00BC0766"/>
    <w:rsid w:val="00BC308A"/>
    <w:rsid w:val="00BC431F"/>
    <w:rsid w:val="00BC5F4C"/>
    <w:rsid w:val="00BD2604"/>
    <w:rsid w:val="00BD3658"/>
    <w:rsid w:val="00BD3A87"/>
    <w:rsid w:val="00BD5BAC"/>
    <w:rsid w:val="00BD7B7B"/>
    <w:rsid w:val="00BD7BED"/>
    <w:rsid w:val="00BE0B72"/>
    <w:rsid w:val="00BE113A"/>
    <w:rsid w:val="00BE2F54"/>
    <w:rsid w:val="00BE418B"/>
    <w:rsid w:val="00BE4532"/>
    <w:rsid w:val="00BE71F8"/>
    <w:rsid w:val="00BE76FF"/>
    <w:rsid w:val="00BF0B4F"/>
    <w:rsid w:val="00BF0DBE"/>
    <w:rsid w:val="00BF2FF1"/>
    <w:rsid w:val="00BF6119"/>
    <w:rsid w:val="00BF7239"/>
    <w:rsid w:val="00C01BF1"/>
    <w:rsid w:val="00C01C59"/>
    <w:rsid w:val="00C02440"/>
    <w:rsid w:val="00C02850"/>
    <w:rsid w:val="00C03ACD"/>
    <w:rsid w:val="00C04F24"/>
    <w:rsid w:val="00C05977"/>
    <w:rsid w:val="00C06DB1"/>
    <w:rsid w:val="00C07EDB"/>
    <w:rsid w:val="00C11DEB"/>
    <w:rsid w:val="00C1235D"/>
    <w:rsid w:val="00C128E5"/>
    <w:rsid w:val="00C155BF"/>
    <w:rsid w:val="00C15886"/>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6D45"/>
    <w:rsid w:val="00C37320"/>
    <w:rsid w:val="00C377C7"/>
    <w:rsid w:val="00C42187"/>
    <w:rsid w:val="00C43ECA"/>
    <w:rsid w:val="00C471A8"/>
    <w:rsid w:val="00C477CB"/>
    <w:rsid w:val="00C479B5"/>
    <w:rsid w:val="00C501A9"/>
    <w:rsid w:val="00C50235"/>
    <w:rsid w:val="00C510E6"/>
    <w:rsid w:val="00C51C56"/>
    <w:rsid w:val="00C53FC5"/>
    <w:rsid w:val="00C54A1B"/>
    <w:rsid w:val="00C56FBB"/>
    <w:rsid w:val="00C57619"/>
    <w:rsid w:val="00C60C0D"/>
    <w:rsid w:val="00C60D30"/>
    <w:rsid w:val="00C62665"/>
    <w:rsid w:val="00C6612C"/>
    <w:rsid w:val="00C6637C"/>
    <w:rsid w:val="00C6699B"/>
    <w:rsid w:val="00C675F1"/>
    <w:rsid w:val="00C678B8"/>
    <w:rsid w:val="00C67D55"/>
    <w:rsid w:val="00C70C15"/>
    <w:rsid w:val="00C70E4E"/>
    <w:rsid w:val="00C71137"/>
    <w:rsid w:val="00C73C24"/>
    <w:rsid w:val="00C7536E"/>
    <w:rsid w:val="00C75CCD"/>
    <w:rsid w:val="00C76627"/>
    <w:rsid w:val="00C805F1"/>
    <w:rsid w:val="00C80AAB"/>
    <w:rsid w:val="00C810A3"/>
    <w:rsid w:val="00C81E36"/>
    <w:rsid w:val="00C820BE"/>
    <w:rsid w:val="00C82868"/>
    <w:rsid w:val="00C83026"/>
    <w:rsid w:val="00C8423E"/>
    <w:rsid w:val="00C84D64"/>
    <w:rsid w:val="00C85469"/>
    <w:rsid w:val="00C86588"/>
    <w:rsid w:val="00C86938"/>
    <w:rsid w:val="00C87714"/>
    <w:rsid w:val="00C87A32"/>
    <w:rsid w:val="00C90364"/>
    <w:rsid w:val="00C9323A"/>
    <w:rsid w:val="00C93419"/>
    <w:rsid w:val="00C951B1"/>
    <w:rsid w:val="00C96CB4"/>
    <w:rsid w:val="00C97898"/>
    <w:rsid w:val="00CA0305"/>
    <w:rsid w:val="00CA1309"/>
    <w:rsid w:val="00CA1E6B"/>
    <w:rsid w:val="00CA268A"/>
    <w:rsid w:val="00CA2BA3"/>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D6E29"/>
    <w:rsid w:val="00CE13A3"/>
    <w:rsid w:val="00CE1A0E"/>
    <w:rsid w:val="00CE6F52"/>
    <w:rsid w:val="00CE7989"/>
    <w:rsid w:val="00CE7A37"/>
    <w:rsid w:val="00CF1415"/>
    <w:rsid w:val="00CF1747"/>
    <w:rsid w:val="00CF35C4"/>
    <w:rsid w:val="00CF360D"/>
    <w:rsid w:val="00CF380A"/>
    <w:rsid w:val="00CF3C26"/>
    <w:rsid w:val="00CF3EB1"/>
    <w:rsid w:val="00CF3FB8"/>
    <w:rsid w:val="00CF4083"/>
    <w:rsid w:val="00CF4839"/>
    <w:rsid w:val="00CF4CAF"/>
    <w:rsid w:val="00CF58D2"/>
    <w:rsid w:val="00CF5EF7"/>
    <w:rsid w:val="00CF7833"/>
    <w:rsid w:val="00D00642"/>
    <w:rsid w:val="00D0150A"/>
    <w:rsid w:val="00D0483A"/>
    <w:rsid w:val="00D065D8"/>
    <w:rsid w:val="00D1000D"/>
    <w:rsid w:val="00D10439"/>
    <w:rsid w:val="00D11182"/>
    <w:rsid w:val="00D12918"/>
    <w:rsid w:val="00D13D22"/>
    <w:rsid w:val="00D13E86"/>
    <w:rsid w:val="00D1483B"/>
    <w:rsid w:val="00D14E23"/>
    <w:rsid w:val="00D14F4B"/>
    <w:rsid w:val="00D15A4A"/>
    <w:rsid w:val="00D177EE"/>
    <w:rsid w:val="00D2180D"/>
    <w:rsid w:val="00D2182B"/>
    <w:rsid w:val="00D21CE8"/>
    <w:rsid w:val="00D21CFC"/>
    <w:rsid w:val="00D22C43"/>
    <w:rsid w:val="00D236FB"/>
    <w:rsid w:val="00D23A0C"/>
    <w:rsid w:val="00D23A8F"/>
    <w:rsid w:val="00D23FB4"/>
    <w:rsid w:val="00D25A2D"/>
    <w:rsid w:val="00D31719"/>
    <w:rsid w:val="00D3215D"/>
    <w:rsid w:val="00D348BA"/>
    <w:rsid w:val="00D41A8B"/>
    <w:rsid w:val="00D4219F"/>
    <w:rsid w:val="00D42EF4"/>
    <w:rsid w:val="00D4341F"/>
    <w:rsid w:val="00D436AD"/>
    <w:rsid w:val="00D43D38"/>
    <w:rsid w:val="00D43E2C"/>
    <w:rsid w:val="00D445A4"/>
    <w:rsid w:val="00D45369"/>
    <w:rsid w:val="00D45C1A"/>
    <w:rsid w:val="00D45E63"/>
    <w:rsid w:val="00D50591"/>
    <w:rsid w:val="00D5210A"/>
    <w:rsid w:val="00D53991"/>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EC6"/>
    <w:rsid w:val="00D72422"/>
    <w:rsid w:val="00D74642"/>
    <w:rsid w:val="00D75159"/>
    <w:rsid w:val="00D80861"/>
    <w:rsid w:val="00D81351"/>
    <w:rsid w:val="00D81642"/>
    <w:rsid w:val="00D8178E"/>
    <w:rsid w:val="00D81B86"/>
    <w:rsid w:val="00D82952"/>
    <w:rsid w:val="00D834A9"/>
    <w:rsid w:val="00D84625"/>
    <w:rsid w:val="00D85055"/>
    <w:rsid w:val="00D869A9"/>
    <w:rsid w:val="00D87B13"/>
    <w:rsid w:val="00D90453"/>
    <w:rsid w:val="00D9067C"/>
    <w:rsid w:val="00D90CA7"/>
    <w:rsid w:val="00D91751"/>
    <w:rsid w:val="00D91C38"/>
    <w:rsid w:val="00D93C26"/>
    <w:rsid w:val="00D93C97"/>
    <w:rsid w:val="00D94AD5"/>
    <w:rsid w:val="00D95A30"/>
    <w:rsid w:val="00D97B71"/>
    <w:rsid w:val="00DA2B3F"/>
    <w:rsid w:val="00DA2B63"/>
    <w:rsid w:val="00DA4E55"/>
    <w:rsid w:val="00DA5453"/>
    <w:rsid w:val="00DA5564"/>
    <w:rsid w:val="00DA5851"/>
    <w:rsid w:val="00DA59C2"/>
    <w:rsid w:val="00DA6CEC"/>
    <w:rsid w:val="00DA7973"/>
    <w:rsid w:val="00DA7DE8"/>
    <w:rsid w:val="00DB4517"/>
    <w:rsid w:val="00DB4754"/>
    <w:rsid w:val="00DB48EA"/>
    <w:rsid w:val="00DB4F1E"/>
    <w:rsid w:val="00DB549E"/>
    <w:rsid w:val="00DB577A"/>
    <w:rsid w:val="00DB6F02"/>
    <w:rsid w:val="00DB7F77"/>
    <w:rsid w:val="00DB7FA7"/>
    <w:rsid w:val="00DC2801"/>
    <w:rsid w:val="00DC2EF9"/>
    <w:rsid w:val="00DC3132"/>
    <w:rsid w:val="00DC5F98"/>
    <w:rsid w:val="00DD0D88"/>
    <w:rsid w:val="00DD23F9"/>
    <w:rsid w:val="00DD453E"/>
    <w:rsid w:val="00DD4A82"/>
    <w:rsid w:val="00DD4E30"/>
    <w:rsid w:val="00DE34C4"/>
    <w:rsid w:val="00DE6567"/>
    <w:rsid w:val="00DE7D49"/>
    <w:rsid w:val="00DF0419"/>
    <w:rsid w:val="00DF1D5E"/>
    <w:rsid w:val="00DF20E4"/>
    <w:rsid w:val="00DF28F4"/>
    <w:rsid w:val="00DF34C2"/>
    <w:rsid w:val="00DF498F"/>
    <w:rsid w:val="00DF59B5"/>
    <w:rsid w:val="00DF6855"/>
    <w:rsid w:val="00E01275"/>
    <w:rsid w:val="00E06C16"/>
    <w:rsid w:val="00E10931"/>
    <w:rsid w:val="00E109EC"/>
    <w:rsid w:val="00E1140D"/>
    <w:rsid w:val="00E11681"/>
    <w:rsid w:val="00E11805"/>
    <w:rsid w:val="00E12A00"/>
    <w:rsid w:val="00E13F9B"/>
    <w:rsid w:val="00E14422"/>
    <w:rsid w:val="00E14BCA"/>
    <w:rsid w:val="00E15029"/>
    <w:rsid w:val="00E175D6"/>
    <w:rsid w:val="00E17D3C"/>
    <w:rsid w:val="00E20397"/>
    <w:rsid w:val="00E20C2E"/>
    <w:rsid w:val="00E229C9"/>
    <w:rsid w:val="00E235C0"/>
    <w:rsid w:val="00E23D51"/>
    <w:rsid w:val="00E2535C"/>
    <w:rsid w:val="00E256C3"/>
    <w:rsid w:val="00E31899"/>
    <w:rsid w:val="00E324C3"/>
    <w:rsid w:val="00E3415F"/>
    <w:rsid w:val="00E35609"/>
    <w:rsid w:val="00E36147"/>
    <w:rsid w:val="00E37748"/>
    <w:rsid w:val="00E37F3C"/>
    <w:rsid w:val="00E400CD"/>
    <w:rsid w:val="00E40C83"/>
    <w:rsid w:val="00E42F0A"/>
    <w:rsid w:val="00E437D1"/>
    <w:rsid w:val="00E45252"/>
    <w:rsid w:val="00E46A48"/>
    <w:rsid w:val="00E47B12"/>
    <w:rsid w:val="00E50C20"/>
    <w:rsid w:val="00E51663"/>
    <w:rsid w:val="00E52B50"/>
    <w:rsid w:val="00E53B08"/>
    <w:rsid w:val="00E541B1"/>
    <w:rsid w:val="00E547B7"/>
    <w:rsid w:val="00E550D2"/>
    <w:rsid w:val="00E55BE9"/>
    <w:rsid w:val="00E5600F"/>
    <w:rsid w:val="00E56341"/>
    <w:rsid w:val="00E57614"/>
    <w:rsid w:val="00E60050"/>
    <w:rsid w:val="00E6043E"/>
    <w:rsid w:val="00E6099C"/>
    <w:rsid w:val="00E616D2"/>
    <w:rsid w:val="00E6198A"/>
    <w:rsid w:val="00E622CE"/>
    <w:rsid w:val="00E62475"/>
    <w:rsid w:val="00E655BE"/>
    <w:rsid w:val="00E7018E"/>
    <w:rsid w:val="00E71193"/>
    <w:rsid w:val="00E71266"/>
    <w:rsid w:val="00E71E51"/>
    <w:rsid w:val="00E73D3F"/>
    <w:rsid w:val="00E74A2C"/>
    <w:rsid w:val="00E774B1"/>
    <w:rsid w:val="00E80A9B"/>
    <w:rsid w:val="00E82B89"/>
    <w:rsid w:val="00E83FA6"/>
    <w:rsid w:val="00E84A89"/>
    <w:rsid w:val="00E85335"/>
    <w:rsid w:val="00E8564A"/>
    <w:rsid w:val="00E876A9"/>
    <w:rsid w:val="00E87920"/>
    <w:rsid w:val="00E92ADF"/>
    <w:rsid w:val="00E93670"/>
    <w:rsid w:val="00E93867"/>
    <w:rsid w:val="00E95308"/>
    <w:rsid w:val="00E956CE"/>
    <w:rsid w:val="00E96FD4"/>
    <w:rsid w:val="00EA0601"/>
    <w:rsid w:val="00EA2040"/>
    <w:rsid w:val="00EA31D2"/>
    <w:rsid w:val="00EA504B"/>
    <w:rsid w:val="00EA5160"/>
    <w:rsid w:val="00EA66BC"/>
    <w:rsid w:val="00EA6A79"/>
    <w:rsid w:val="00EA6B1F"/>
    <w:rsid w:val="00EA6F2C"/>
    <w:rsid w:val="00EA7393"/>
    <w:rsid w:val="00EA740A"/>
    <w:rsid w:val="00EA79B9"/>
    <w:rsid w:val="00EB0BFC"/>
    <w:rsid w:val="00EB0E39"/>
    <w:rsid w:val="00EB1BEF"/>
    <w:rsid w:val="00EB20B1"/>
    <w:rsid w:val="00EB27CA"/>
    <w:rsid w:val="00EB332F"/>
    <w:rsid w:val="00EB36DC"/>
    <w:rsid w:val="00EB48FF"/>
    <w:rsid w:val="00EC1722"/>
    <w:rsid w:val="00EC25AA"/>
    <w:rsid w:val="00EC2E1A"/>
    <w:rsid w:val="00EC38F8"/>
    <w:rsid w:val="00EC47D1"/>
    <w:rsid w:val="00EC71B1"/>
    <w:rsid w:val="00EC76F1"/>
    <w:rsid w:val="00EC776B"/>
    <w:rsid w:val="00ED1236"/>
    <w:rsid w:val="00ED1A2F"/>
    <w:rsid w:val="00ED3908"/>
    <w:rsid w:val="00ED3BE5"/>
    <w:rsid w:val="00ED464D"/>
    <w:rsid w:val="00ED5BB4"/>
    <w:rsid w:val="00ED7026"/>
    <w:rsid w:val="00EE13A9"/>
    <w:rsid w:val="00EE2099"/>
    <w:rsid w:val="00EE386E"/>
    <w:rsid w:val="00EF04A2"/>
    <w:rsid w:val="00EF1DB6"/>
    <w:rsid w:val="00EF3CD8"/>
    <w:rsid w:val="00EF469B"/>
    <w:rsid w:val="00EF730A"/>
    <w:rsid w:val="00EF7679"/>
    <w:rsid w:val="00F01560"/>
    <w:rsid w:val="00F0323E"/>
    <w:rsid w:val="00F0334E"/>
    <w:rsid w:val="00F03DD3"/>
    <w:rsid w:val="00F05B59"/>
    <w:rsid w:val="00F062FD"/>
    <w:rsid w:val="00F06CFE"/>
    <w:rsid w:val="00F078E7"/>
    <w:rsid w:val="00F07C1B"/>
    <w:rsid w:val="00F07F5C"/>
    <w:rsid w:val="00F102FF"/>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0C64"/>
    <w:rsid w:val="00F31556"/>
    <w:rsid w:val="00F32547"/>
    <w:rsid w:val="00F34228"/>
    <w:rsid w:val="00F3526A"/>
    <w:rsid w:val="00F363A4"/>
    <w:rsid w:val="00F37494"/>
    <w:rsid w:val="00F40EAF"/>
    <w:rsid w:val="00F41CE9"/>
    <w:rsid w:val="00F43F68"/>
    <w:rsid w:val="00F516C2"/>
    <w:rsid w:val="00F5411C"/>
    <w:rsid w:val="00F54F2E"/>
    <w:rsid w:val="00F6042B"/>
    <w:rsid w:val="00F60698"/>
    <w:rsid w:val="00F60B45"/>
    <w:rsid w:val="00F626DD"/>
    <w:rsid w:val="00F628F4"/>
    <w:rsid w:val="00F63C0B"/>
    <w:rsid w:val="00F6409D"/>
    <w:rsid w:val="00F64B7A"/>
    <w:rsid w:val="00F657C6"/>
    <w:rsid w:val="00F65E48"/>
    <w:rsid w:val="00F66D32"/>
    <w:rsid w:val="00F67B18"/>
    <w:rsid w:val="00F713EB"/>
    <w:rsid w:val="00F71DC5"/>
    <w:rsid w:val="00F74939"/>
    <w:rsid w:val="00F7544C"/>
    <w:rsid w:val="00F77E35"/>
    <w:rsid w:val="00F802EB"/>
    <w:rsid w:val="00F82116"/>
    <w:rsid w:val="00F82339"/>
    <w:rsid w:val="00F82B33"/>
    <w:rsid w:val="00F83241"/>
    <w:rsid w:val="00F9014B"/>
    <w:rsid w:val="00F9032F"/>
    <w:rsid w:val="00F9288F"/>
    <w:rsid w:val="00F92EF5"/>
    <w:rsid w:val="00F940B6"/>
    <w:rsid w:val="00F9419F"/>
    <w:rsid w:val="00F943E6"/>
    <w:rsid w:val="00F9444C"/>
    <w:rsid w:val="00F95EFA"/>
    <w:rsid w:val="00F96C61"/>
    <w:rsid w:val="00FA0908"/>
    <w:rsid w:val="00FA16B7"/>
    <w:rsid w:val="00FA29BB"/>
    <w:rsid w:val="00FA2C08"/>
    <w:rsid w:val="00FA2F09"/>
    <w:rsid w:val="00FA378C"/>
    <w:rsid w:val="00FA3D37"/>
    <w:rsid w:val="00FA3DBA"/>
    <w:rsid w:val="00FA5A0B"/>
    <w:rsid w:val="00FA5E16"/>
    <w:rsid w:val="00FA7A29"/>
    <w:rsid w:val="00FB02C3"/>
    <w:rsid w:val="00FB303A"/>
    <w:rsid w:val="00FB38C2"/>
    <w:rsid w:val="00FB3F37"/>
    <w:rsid w:val="00FB6C3A"/>
    <w:rsid w:val="00FC014F"/>
    <w:rsid w:val="00FC1553"/>
    <w:rsid w:val="00FC1CBC"/>
    <w:rsid w:val="00FC30D2"/>
    <w:rsid w:val="00FC36C2"/>
    <w:rsid w:val="00FC3FBE"/>
    <w:rsid w:val="00FC464F"/>
    <w:rsid w:val="00FC48E2"/>
    <w:rsid w:val="00FC5186"/>
    <w:rsid w:val="00FC52BC"/>
    <w:rsid w:val="00FC54EE"/>
    <w:rsid w:val="00FC5E64"/>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E7D9A"/>
    <w:rsid w:val="00FF05E0"/>
    <w:rsid w:val="00FF0848"/>
    <w:rsid w:val="00FF1AD5"/>
    <w:rsid w:val="00FF558F"/>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0114"/>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935D9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 w:type="character" w:customStyle="1" w:styleId="5Char">
    <w:name w:val="标题 5 Char"/>
    <w:basedOn w:val="a0"/>
    <w:link w:val="5"/>
    <w:uiPriority w:val="9"/>
    <w:semiHidden/>
    <w:rsid w:val="00935D9C"/>
    <w:rPr>
      <w:b/>
      <w:bCs/>
      <w:sz w:val="28"/>
      <w:szCs w:val="28"/>
    </w:rPr>
  </w:style>
  <w:style w:type="character" w:styleId="ad">
    <w:name w:val="Placeholder Text"/>
    <w:basedOn w:val="a0"/>
    <w:uiPriority w:val="99"/>
    <w:semiHidden/>
    <w:rsid w:val="00EA0601"/>
    <w:rPr>
      <w:color w:val="808080"/>
    </w:rPr>
  </w:style>
  <w:style w:type="character" w:customStyle="1" w:styleId="web">
    <w:name w:val="web"/>
    <w:basedOn w:val="a0"/>
    <w:rsid w:val="00B75A52"/>
  </w:style>
  <w:style w:type="paragraph" w:styleId="ae">
    <w:name w:val="Subtitle"/>
    <w:basedOn w:val="a"/>
    <w:next w:val="a"/>
    <w:link w:val="Char3"/>
    <w:uiPriority w:val="11"/>
    <w:qFormat/>
    <w:rsid w:val="00042C65"/>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3">
    <w:name w:val="副标题 Char"/>
    <w:basedOn w:val="a0"/>
    <w:link w:val="ae"/>
    <w:uiPriority w:val="11"/>
    <w:rsid w:val="00042C65"/>
    <w:rPr>
      <w:rFonts w:asciiTheme="majorHAnsi" w:eastAsia="宋体" w:hAnsiTheme="majorHAnsi" w:cstheme="majorBidi"/>
      <w:b/>
      <w:bCs/>
      <w:kern w:val="28"/>
      <w:sz w:val="32"/>
      <w:szCs w:val="32"/>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2917914">
      <w:bodyDiv w:val="1"/>
      <w:marLeft w:val="0"/>
      <w:marRight w:val="0"/>
      <w:marTop w:val="0"/>
      <w:marBottom w:val="0"/>
      <w:divBdr>
        <w:top w:val="none" w:sz="0" w:space="0" w:color="auto"/>
        <w:left w:val="none" w:sz="0" w:space="0" w:color="auto"/>
        <w:bottom w:val="none" w:sz="0" w:space="0" w:color="auto"/>
        <w:right w:val="none" w:sz="0" w:space="0" w:color="auto"/>
      </w:divBdr>
      <w:divsChild>
        <w:div w:id="512496096">
          <w:marLeft w:val="0"/>
          <w:marRight w:val="0"/>
          <w:marTop w:val="0"/>
          <w:marBottom w:val="0"/>
          <w:divBdr>
            <w:top w:val="none" w:sz="0" w:space="0" w:color="auto"/>
            <w:left w:val="none" w:sz="0" w:space="0" w:color="auto"/>
            <w:bottom w:val="none" w:sz="0" w:space="0" w:color="auto"/>
            <w:right w:val="none" w:sz="0" w:space="0" w:color="auto"/>
          </w:divBdr>
        </w:div>
        <w:div w:id="1509128625">
          <w:marLeft w:val="0"/>
          <w:marRight w:val="0"/>
          <w:marTop w:val="0"/>
          <w:marBottom w:val="0"/>
          <w:divBdr>
            <w:top w:val="none" w:sz="0" w:space="0" w:color="auto"/>
            <w:left w:val="none" w:sz="0" w:space="0" w:color="auto"/>
            <w:bottom w:val="none" w:sz="0" w:space="0" w:color="auto"/>
            <w:right w:val="none" w:sz="0" w:space="0" w:color="auto"/>
          </w:divBdr>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28759267">
      <w:bodyDiv w:val="1"/>
      <w:marLeft w:val="0"/>
      <w:marRight w:val="0"/>
      <w:marTop w:val="0"/>
      <w:marBottom w:val="0"/>
      <w:divBdr>
        <w:top w:val="none" w:sz="0" w:space="0" w:color="auto"/>
        <w:left w:val="none" w:sz="0" w:space="0" w:color="auto"/>
        <w:bottom w:val="none" w:sz="0" w:space="0" w:color="auto"/>
        <w:right w:val="none" w:sz="0" w:space="0" w:color="auto"/>
      </w:divBdr>
      <w:divsChild>
        <w:div w:id="783235237">
          <w:marLeft w:val="0"/>
          <w:marRight w:val="0"/>
          <w:marTop w:val="0"/>
          <w:marBottom w:val="0"/>
          <w:divBdr>
            <w:top w:val="none" w:sz="0" w:space="0" w:color="auto"/>
            <w:left w:val="none" w:sz="0" w:space="0" w:color="auto"/>
            <w:bottom w:val="none" w:sz="0" w:space="0" w:color="auto"/>
            <w:right w:val="none" w:sz="0" w:space="0" w:color="auto"/>
          </w:divBdr>
        </w:div>
        <w:div w:id="1585531100">
          <w:marLeft w:val="0"/>
          <w:marRight w:val="0"/>
          <w:marTop w:val="0"/>
          <w:marBottom w:val="0"/>
          <w:divBdr>
            <w:top w:val="none" w:sz="0" w:space="0" w:color="auto"/>
            <w:left w:val="none" w:sz="0" w:space="0" w:color="auto"/>
            <w:bottom w:val="none" w:sz="0" w:space="0" w:color="auto"/>
            <w:right w:val="none" w:sz="0" w:space="0" w:color="auto"/>
          </w:divBdr>
        </w:div>
      </w:divsChild>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4897746">
      <w:bodyDiv w:val="1"/>
      <w:marLeft w:val="0"/>
      <w:marRight w:val="0"/>
      <w:marTop w:val="0"/>
      <w:marBottom w:val="0"/>
      <w:divBdr>
        <w:top w:val="none" w:sz="0" w:space="0" w:color="auto"/>
        <w:left w:val="none" w:sz="0" w:space="0" w:color="auto"/>
        <w:bottom w:val="none" w:sz="0" w:space="0" w:color="auto"/>
        <w:right w:val="none" w:sz="0" w:space="0" w:color="auto"/>
      </w:divBdr>
      <w:divsChild>
        <w:div w:id="1229726016">
          <w:marLeft w:val="0"/>
          <w:marRight w:val="0"/>
          <w:marTop w:val="0"/>
          <w:marBottom w:val="0"/>
          <w:divBdr>
            <w:top w:val="none" w:sz="0" w:space="0" w:color="auto"/>
            <w:left w:val="none" w:sz="0" w:space="0" w:color="auto"/>
            <w:bottom w:val="none" w:sz="0" w:space="0" w:color="auto"/>
            <w:right w:val="none" w:sz="0" w:space="0" w:color="auto"/>
          </w:divBdr>
          <w:divsChild>
            <w:div w:id="190810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28265584">
      <w:bodyDiv w:val="1"/>
      <w:marLeft w:val="0"/>
      <w:marRight w:val="0"/>
      <w:marTop w:val="0"/>
      <w:marBottom w:val="0"/>
      <w:divBdr>
        <w:top w:val="none" w:sz="0" w:space="0" w:color="auto"/>
        <w:left w:val="none" w:sz="0" w:space="0" w:color="auto"/>
        <w:bottom w:val="none" w:sz="0" w:space="0" w:color="auto"/>
        <w:right w:val="none" w:sz="0" w:space="0" w:color="auto"/>
      </w:divBdr>
      <w:divsChild>
        <w:div w:id="246154987">
          <w:marLeft w:val="0"/>
          <w:marRight w:val="0"/>
          <w:marTop w:val="0"/>
          <w:marBottom w:val="0"/>
          <w:divBdr>
            <w:top w:val="none" w:sz="0" w:space="0" w:color="auto"/>
            <w:left w:val="none" w:sz="0" w:space="0" w:color="auto"/>
            <w:bottom w:val="none" w:sz="0" w:space="0" w:color="auto"/>
            <w:right w:val="none" w:sz="0" w:space="0" w:color="auto"/>
          </w:divBdr>
          <w:divsChild>
            <w:div w:id="964628231">
              <w:marLeft w:val="0"/>
              <w:marRight w:val="0"/>
              <w:marTop w:val="0"/>
              <w:marBottom w:val="0"/>
              <w:divBdr>
                <w:top w:val="none" w:sz="0" w:space="0" w:color="auto"/>
                <w:left w:val="none" w:sz="0" w:space="0" w:color="auto"/>
                <w:bottom w:val="single" w:sz="6" w:space="0" w:color="ADCFE8"/>
                <w:right w:val="single" w:sz="6" w:space="0" w:color="ADCFE8"/>
              </w:divBdr>
              <w:divsChild>
                <w:div w:id="757679948">
                  <w:marLeft w:val="0"/>
                  <w:marRight w:val="0"/>
                  <w:marTop w:val="0"/>
                  <w:marBottom w:val="0"/>
                  <w:divBdr>
                    <w:top w:val="none" w:sz="0" w:space="0" w:color="auto"/>
                    <w:left w:val="none" w:sz="0" w:space="0" w:color="auto"/>
                    <w:bottom w:val="none" w:sz="0" w:space="0" w:color="auto"/>
                    <w:right w:val="none" w:sz="0" w:space="0" w:color="auto"/>
                  </w:divBdr>
                  <w:divsChild>
                    <w:div w:id="85172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81873">
          <w:marLeft w:val="0"/>
          <w:marRight w:val="0"/>
          <w:marTop w:val="150"/>
          <w:marBottom w:val="0"/>
          <w:divBdr>
            <w:top w:val="none" w:sz="0" w:space="0" w:color="auto"/>
            <w:left w:val="none" w:sz="0" w:space="8" w:color="auto"/>
            <w:bottom w:val="single" w:sz="48" w:space="0" w:color="4087C5"/>
            <w:right w:val="none" w:sz="0" w:space="8" w:color="auto"/>
          </w:divBdr>
        </w:div>
      </w:divsChild>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36269286">
      <w:bodyDiv w:val="1"/>
      <w:marLeft w:val="0"/>
      <w:marRight w:val="0"/>
      <w:marTop w:val="0"/>
      <w:marBottom w:val="0"/>
      <w:divBdr>
        <w:top w:val="none" w:sz="0" w:space="0" w:color="auto"/>
        <w:left w:val="none" w:sz="0" w:space="0" w:color="auto"/>
        <w:bottom w:val="none" w:sz="0" w:space="0" w:color="auto"/>
        <w:right w:val="none" w:sz="0" w:space="0" w:color="auto"/>
      </w:divBdr>
      <w:divsChild>
        <w:div w:id="650982732">
          <w:marLeft w:val="0"/>
          <w:marRight w:val="0"/>
          <w:marTop w:val="0"/>
          <w:marBottom w:val="0"/>
          <w:divBdr>
            <w:top w:val="none" w:sz="0" w:space="0" w:color="auto"/>
            <w:left w:val="none" w:sz="0" w:space="0" w:color="auto"/>
            <w:bottom w:val="none" w:sz="0" w:space="0" w:color="auto"/>
            <w:right w:val="none" w:sz="0" w:space="0" w:color="auto"/>
          </w:divBdr>
        </w:div>
        <w:div w:id="888225144">
          <w:marLeft w:val="0"/>
          <w:marRight w:val="0"/>
          <w:marTop w:val="0"/>
          <w:marBottom w:val="0"/>
          <w:divBdr>
            <w:top w:val="none" w:sz="0" w:space="0" w:color="auto"/>
            <w:left w:val="none" w:sz="0" w:space="0" w:color="auto"/>
            <w:bottom w:val="none" w:sz="0" w:space="0" w:color="auto"/>
            <w:right w:val="none" w:sz="0" w:space="0" w:color="auto"/>
          </w:divBdr>
        </w:div>
      </w:divsChild>
    </w:div>
    <w:div w:id="860051025">
      <w:bodyDiv w:val="1"/>
      <w:marLeft w:val="0"/>
      <w:marRight w:val="0"/>
      <w:marTop w:val="0"/>
      <w:marBottom w:val="0"/>
      <w:divBdr>
        <w:top w:val="none" w:sz="0" w:space="0" w:color="auto"/>
        <w:left w:val="none" w:sz="0" w:space="0" w:color="auto"/>
        <w:bottom w:val="none" w:sz="0" w:space="0" w:color="auto"/>
        <w:right w:val="none" w:sz="0" w:space="0" w:color="auto"/>
      </w:divBdr>
      <w:divsChild>
        <w:div w:id="69933549">
          <w:marLeft w:val="0"/>
          <w:marRight w:val="0"/>
          <w:marTop w:val="0"/>
          <w:marBottom w:val="0"/>
          <w:divBdr>
            <w:top w:val="none" w:sz="0" w:space="0" w:color="auto"/>
            <w:left w:val="none" w:sz="0" w:space="0" w:color="auto"/>
            <w:bottom w:val="none" w:sz="0" w:space="0" w:color="auto"/>
            <w:right w:val="none" w:sz="0" w:space="0" w:color="auto"/>
          </w:divBdr>
          <w:divsChild>
            <w:div w:id="1685399665">
              <w:marLeft w:val="0"/>
              <w:marRight w:val="0"/>
              <w:marTop w:val="0"/>
              <w:marBottom w:val="0"/>
              <w:divBdr>
                <w:top w:val="single" w:sz="6" w:space="0" w:color="DBDBDB"/>
                <w:left w:val="single" w:sz="6" w:space="0" w:color="DBDBDB"/>
                <w:bottom w:val="single" w:sz="12" w:space="0" w:color="DBDBDB"/>
                <w:right w:val="single" w:sz="12" w:space="0" w:color="DBDBDB"/>
              </w:divBdr>
              <w:divsChild>
                <w:div w:id="1628581780">
                  <w:marLeft w:val="0"/>
                  <w:marRight w:val="0"/>
                  <w:marTop w:val="0"/>
                  <w:marBottom w:val="0"/>
                  <w:divBdr>
                    <w:top w:val="none" w:sz="0" w:space="0" w:color="auto"/>
                    <w:left w:val="none" w:sz="0" w:space="0" w:color="auto"/>
                    <w:bottom w:val="none" w:sz="0" w:space="0" w:color="auto"/>
                    <w:right w:val="none" w:sz="0" w:space="0" w:color="auto"/>
                  </w:divBdr>
                  <w:divsChild>
                    <w:div w:id="1761562145">
                      <w:marLeft w:val="0"/>
                      <w:marRight w:val="0"/>
                      <w:marTop w:val="0"/>
                      <w:marBottom w:val="0"/>
                      <w:divBdr>
                        <w:top w:val="none" w:sz="0" w:space="0" w:color="auto"/>
                        <w:left w:val="none" w:sz="0" w:space="0" w:color="auto"/>
                        <w:bottom w:val="none" w:sz="0" w:space="0" w:color="auto"/>
                        <w:right w:val="none" w:sz="0" w:space="0" w:color="auto"/>
                      </w:divBdr>
                      <w:divsChild>
                        <w:div w:id="163652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16667588">
      <w:bodyDiv w:val="1"/>
      <w:marLeft w:val="0"/>
      <w:marRight w:val="0"/>
      <w:marTop w:val="0"/>
      <w:marBottom w:val="0"/>
      <w:divBdr>
        <w:top w:val="none" w:sz="0" w:space="0" w:color="auto"/>
        <w:left w:val="none" w:sz="0" w:space="0" w:color="auto"/>
        <w:bottom w:val="none" w:sz="0" w:space="0" w:color="auto"/>
        <w:right w:val="none" w:sz="0" w:space="0" w:color="auto"/>
      </w:divBdr>
      <w:divsChild>
        <w:div w:id="976298431">
          <w:marLeft w:val="0"/>
          <w:marRight w:val="0"/>
          <w:marTop w:val="0"/>
          <w:marBottom w:val="0"/>
          <w:divBdr>
            <w:top w:val="none" w:sz="0" w:space="0" w:color="auto"/>
            <w:left w:val="none" w:sz="0" w:space="0" w:color="auto"/>
            <w:bottom w:val="none" w:sz="0" w:space="0" w:color="auto"/>
            <w:right w:val="none" w:sz="0" w:space="0" w:color="auto"/>
          </w:divBdr>
        </w:div>
        <w:div w:id="1824393191">
          <w:marLeft w:val="0"/>
          <w:marRight w:val="0"/>
          <w:marTop w:val="0"/>
          <w:marBottom w:val="0"/>
          <w:divBdr>
            <w:top w:val="none" w:sz="0" w:space="0" w:color="auto"/>
            <w:left w:val="none" w:sz="0" w:space="0" w:color="auto"/>
            <w:bottom w:val="none" w:sz="0" w:space="0" w:color="auto"/>
            <w:right w:val="none" w:sz="0" w:space="0" w:color="auto"/>
          </w:divBdr>
        </w:div>
      </w:divsChild>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3569">
      <w:bodyDiv w:val="1"/>
      <w:marLeft w:val="0"/>
      <w:marRight w:val="0"/>
      <w:marTop w:val="0"/>
      <w:marBottom w:val="0"/>
      <w:divBdr>
        <w:top w:val="none" w:sz="0" w:space="0" w:color="auto"/>
        <w:left w:val="none" w:sz="0" w:space="0" w:color="auto"/>
        <w:bottom w:val="none" w:sz="0" w:space="0" w:color="auto"/>
        <w:right w:val="none" w:sz="0" w:space="0" w:color="auto"/>
      </w:divBdr>
      <w:divsChild>
        <w:div w:id="2049332457">
          <w:marLeft w:val="0"/>
          <w:marRight w:val="0"/>
          <w:marTop w:val="0"/>
          <w:marBottom w:val="0"/>
          <w:divBdr>
            <w:top w:val="none" w:sz="0" w:space="0" w:color="auto"/>
            <w:left w:val="none" w:sz="0" w:space="0" w:color="auto"/>
            <w:bottom w:val="none" w:sz="0" w:space="0" w:color="auto"/>
            <w:right w:val="none" w:sz="0" w:space="0" w:color="auto"/>
          </w:divBdr>
        </w:div>
        <w:div w:id="2134514351">
          <w:marLeft w:val="0"/>
          <w:marRight w:val="0"/>
          <w:marTop w:val="0"/>
          <w:marBottom w:val="0"/>
          <w:divBdr>
            <w:top w:val="none" w:sz="0" w:space="0" w:color="auto"/>
            <w:left w:val="none" w:sz="0" w:space="0" w:color="auto"/>
            <w:bottom w:val="none" w:sz="0" w:space="0" w:color="auto"/>
            <w:right w:val="none" w:sz="0" w:space="0" w:color="auto"/>
          </w:divBdr>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617395">
      <w:bodyDiv w:val="1"/>
      <w:marLeft w:val="0"/>
      <w:marRight w:val="0"/>
      <w:marTop w:val="0"/>
      <w:marBottom w:val="0"/>
      <w:divBdr>
        <w:top w:val="none" w:sz="0" w:space="0" w:color="auto"/>
        <w:left w:val="none" w:sz="0" w:space="0" w:color="auto"/>
        <w:bottom w:val="none" w:sz="0" w:space="0" w:color="auto"/>
        <w:right w:val="none" w:sz="0" w:space="0" w:color="auto"/>
      </w:divBdr>
      <w:divsChild>
        <w:div w:id="741024162">
          <w:marLeft w:val="0"/>
          <w:marRight w:val="0"/>
          <w:marTop w:val="0"/>
          <w:marBottom w:val="0"/>
          <w:divBdr>
            <w:top w:val="none" w:sz="0" w:space="0" w:color="auto"/>
            <w:left w:val="none" w:sz="0" w:space="0" w:color="auto"/>
            <w:bottom w:val="none" w:sz="0" w:space="0" w:color="auto"/>
            <w:right w:val="none" w:sz="0" w:space="0" w:color="auto"/>
          </w:divBdr>
        </w:div>
        <w:div w:id="1414551974">
          <w:marLeft w:val="0"/>
          <w:marRight w:val="0"/>
          <w:marTop w:val="0"/>
          <w:marBottom w:val="0"/>
          <w:divBdr>
            <w:top w:val="none" w:sz="0" w:space="0" w:color="auto"/>
            <w:left w:val="none" w:sz="0" w:space="0" w:color="auto"/>
            <w:bottom w:val="none" w:sz="0" w:space="0" w:color="auto"/>
            <w:right w:val="none" w:sz="0" w:space="0" w:color="auto"/>
          </w:divBdr>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02237474">
          <w:marLeft w:val="0"/>
          <w:marRight w:val="0"/>
          <w:marTop w:val="0"/>
          <w:marBottom w:val="0"/>
          <w:divBdr>
            <w:top w:val="none" w:sz="0" w:space="0" w:color="auto"/>
            <w:left w:val="none" w:sz="0" w:space="0" w:color="auto"/>
            <w:bottom w:val="none" w:sz="0" w:space="0" w:color="auto"/>
            <w:right w:val="none" w:sz="0" w:space="0" w:color="auto"/>
          </w:divBdr>
        </w:div>
        <w:div w:id="1517962497">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84278504">
      <w:bodyDiv w:val="1"/>
      <w:marLeft w:val="0"/>
      <w:marRight w:val="0"/>
      <w:marTop w:val="0"/>
      <w:marBottom w:val="0"/>
      <w:divBdr>
        <w:top w:val="none" w:sz="0" w:space="0" w:color="auto"/>
        <w:left w:val="none" w:sz="0" w:space="0" w:color="auto"/>
        <w:bottom w:val="none" w:sz="0" w:space="0" w:color="auto"/>
        <w:right w:val="none" w:sz="0" w:space="0" w:color="auto"/>
      </w:divBdr>
      <w:divsChild>
        <w:div w:id="377051542">
          <w:marLeft w:val="0"/>
          <w:marRight w:val="0"/>
          <w:marTop w:val="0"/>
          <w:marBottom w:val="0"/>
          <w:divBdr>
            <w:top w:val="none" w:sz="0" w:space="0" w:color="auto"/>
            <w:left w:val="none" w:sz="0" w:space="0" w:color="auto"/>
            <w:bottom w:val="none" w:sz="0" w:space="0" w:color="auto"/>
            <w:right w:val="none" w:sz="0" w:space="0" w:color="auto"/>
          </w:divBdr>
        </w:div>
        <w:div w:id="1885822038">
          <w:marLeft w:val="0"/>
          <w:marRight w:val="0"/>
          <w:marTop w:val="0"/>
          <w:marBottom w:val="0"/>
          <w:divBdr>
            <w:top w:val="none" w:sz="0" w:space="0" w:color="auto"/>
            <w:left w:val="none" w:sz="0" w:space="0" w:color="auto"/>
            <w:bottom w:val="none" w:sz="0" w:space="0" w:color="auto"/>
            <w:right w:val="none" w:sz="0" w:space="0" w:color="auto"/>
          </w:divBdr>
        </w:div>
      </w:divsChild>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923229">
      <w:bodyDiv w:val="1"/>
      <w:marLeft w:val="0"/>
      <w:marRight w:val="0"/>
      <w:marTop w:val="0"/>
      <w:marBottom w:val="0"/>
      <w:divBdr>
        <w:top w:val="none" w:sz="0" w:space="0" w:color="auto"/>
        <w:left w:val="none" w:sz="0" w:space="0" w:color="auto"/>
        <w:bottom w:val="none" w:sz="0" w:space="0" w:color="auto"/>
        <w:right w:val="none" w:sz="0" w:space="0" w:color="auto"/>
      </w:divBdr>
      <w:divsChild>
        <w:div w:id="879782658">
          <w:marLeft w:val="0"/>
          <w:marRight w:val="0"/>
          <w:marTop w:val="0"/>
          <w:marBottom w:val="0"/>
          <w:divBdr>
            <w:top w:val="none" w:sz="0" w:space="0" w:color="auto"/>
            <w:left w:val="none" w:sz="0" w:space="0" w:color="auto"/>
            <w:bottom w:val="none" w:sz="0" w:space="0" w:color="auto"/>
            <w:right w:val="none" w:sz="0" w:space="0" w:color="auto"/>
          </w:divBdr>
        </w:div>
        <w:div w:id="1491605255">
          <w:marLeft w:val="0"/>
          <w:marRight w:val="0"/>
          <w:marTop w:val="0"/>
          <w:marBottom w:val="0"/>
          <w:divBdr>
            <w:top w:val="none" w:sz="0" w:space="0" w:color="auto"/>
            <w:left w:val="none" w:sz="0" w:space="0" w:color="auto"/>
            <w:bottom w:val="none" w:sz="0" w:space="0" w:color="auto"/>
            <w:right w:val="none" w:sz="0" w:space="0" w:color="auto"/>
          </w:divBdr>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0556719">
      <w:bodyDiv w:val="1"/>
      <w:marLeft w:val="0"/>
      <w:marRight w:val="0"/>
      <w:marTop w:val="0"/>
      <w:marBottom w:val="0"/>
      <w:divBdr>
        <w:top w:val="none" w:sz="0" w:space="0" w:color="auto"/>
        <w:left w:val="none" w:sz="0" w:space="0" w:color="auto"/>
        <w:bottom w:val="none" w:sz="0" w:space="0" w:color="auto"/>
        <w:right w:val="none" w:sz="0" w:space="0" w:color="auto"/>
      </w:divBdr>
      <w:divsChild>
        <w:div w:id="1751147917">
          <w:marLeft w:val="0"/>
          <w:marRight w:val="0"/>
          <w:marTop w:val="0"/>
          <w:marBottom w:val="0"/>
          <w:divBdr>
            <w:top w:val="none" w:sz="0" w:space="0" w:color="auto"/>
            <w:left w:val="none" w:sz="0" w:space="0" w:color="auto"/>
            <w:bottom w:val="none" w:sz="0" w:space="0" w:color="auto"/>
            <w:right w:val="none" w:sz="0" w:space="0" w:color="auto"/>
          </w:divBdr>
          <w:divsChild>
            <w:div w:id="4345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445DB8-638C-44C7-8DAE-76E272D28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16</Pages>
  <Words>2470</Words>
  <Characters>14080</Characters>
  <Application>Microsoft Office Word</Application>
  <DocSecurity>0</DocSecurity>
  <Lines>117</Lines>
  <Paragraphs>33</Paragraphs>
  <ScaleCrop>false</ScaleCrop>
  <Company>Microsoft</Company>
  <LinksUpToDate>false</LinksUpToDate>
  <CharactersWithSpaces>16517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wei</cp:lastModifiedBy>
  <cp:revision>42</cp:revision>
  <cp:lastPrinted>2021-09-01T02:53:00Z</cp:lastPrinted>
  <dcterms:created xsi:type="dcterms:W3CDTF">2021-09-01T00:58:00Z</dcterms:created>
  <dcterms:modified xsi:type="dcterms:W3CDTF">2021-09-13T02:37:00Z</dcterms:modified>
</cp:coreProperties>
</file>